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DAF6" w14:textId="1F7156CF" w:rsidR="004A7D2F" w:rsidRPr="00107B77" w:rsidRDefault="004A7D2F" w:rsidP="00244948">
      <w:pPr>
        <w:pStyle w:val="NoSpacing"/>
        <w:ind w:left="-1418"/>
        <w:rPr>
          <w:b/>
          <w:sz w:val="48"/>
          <w:szCs w:val="48"/>
          <w:highlight w:val="yellow"/>
        </w:rPr>
      </w:pPr>
      <w:r w:rsidRPr="00107B77">
        <w:rPr>
          <w:b/>
          <w:noProof/>
          <w:sz w:val="26"/>
          <w:szCs w:val="26"/>
          <w:highlight w:val="yellow"/>
          <w:u w:val="single"/>
          <w:lang w:eastAsia="en-GB"/>
        </w:rPr>
        <w:drawing>
          <wp:inline distT="0" distB="0" distL="0" distR="0" wp14:anchorId="056125F9" wp14:editId="5A1BFE9E">
            <wp:extent cx="8341200" cy="11782800"/>
            <wp:effectExtent l="0" t="0" r="3175" b="3175"/>
            <wp:docPr id="1" name="Picture 1" descr="Core Covers_Layout 1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 Covers_Layout 1_Page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1200" cy="11782800"/>
                    </a:xfrm>
                    <a:prstGeom prst="rect">
                      <a:avLst/>
                    </a:prstGeom>
                    <a:noFill/>
                    <a:ln>
                      <a:noFill/>
                    </a:ln>
                  </pic:spPr>
                </pic:pic>
              </a:graphicData>
            </a:graphic>
          </wp:inline>
        </w:drawing>
      </w:r>
    </w:p>
    <w:p w14:paraId="4C6D20FC" w14:textId="77777777" w:rsidR="00605952" w:rsidRPr="001E40A6" w:rsidRDefault="798736F7" w:rsidP="008469ED">
      <w:pPr>
        <w:pStyle w:val="Heading1"/>
      </w:pPr>
      <w:bookmarkStart w:id="0" w:name="_Toc141166582"/>
      <w:r>
        <w:lastRenderedPageBreak/>
        <w:t>Summary</w:t>
      </w:r>
      <w:bookmarkEnd w:id="0"/>
    </w:p>
    <w:p w14:paraId="11973CCA" w14:textId="1E3D3B82" w:rsidR="00605952" w:rsidRPr="001E40A6" w:rsidRDefault="001D0D71" w:rsidP="0047746D">
      <w:pPr>
        <w:pStyle w:val="NoSpacing"/>
        <w:jc w:val="both"/>
        <w:rPr>
          <w:sz w:val="26"/>
          <w:szCs w:val="26"/>
        </w:rPr>
      </w:pPr>
      <w:r w:rsidRPr="001E40A6">
        <w:rPr>
          <w:sz w:val="26"/>
          <w:szCs w:val="26"/>
        </w:rPr>
        <w:t xml:space="preserve">The </w:t>
      </w:r>
      <w:r w:rsidR="001F4E66" w:rsidRPr="001E40A6">
        <w:rPr>
          <w:sz w:val="26"/>
          <w:szCs w:val="26"/>
        </w:rPr>
        <w:t xml:space="preserve">timeframe measured within this </w:t>
      </w:r>
      <w:r w:rsidRPr="001E40A6">
        <w:rPr>
          <w:sz w:val="26"/>
          <w:szCs w:val="26"/>
        </w:rPr>
        <w:t xml:space="preserve">monitoring report </w:t>
      </w:r>
      <w:r w:rsidR="001F4E66" w:rsidRPr="001E40A6">
        <w:rPr>
          <w:sz w:val="26"/>
          <w:szCs w:val="26"/>
        </w:rPr>
        <w:t>is</w:t>
      </w:r>
      <w:r w:rsidRPr="001E40A6">
        <w:rPr>
          <w:sz w:val="26"/>
          <w:szCs w:val="26"/>
        </w:rPr>
        <w:t xml:space="preserve"> the period 01 April 20</w:t>
      </w:r>
      <w:r w:rsidR="008F7806">
        <w:rPr>
          <w:sz w:val="26"/>
          <w:szCs w:val="26"/>
        </w:rPr>
        <w:t>22</w:t>
      </w:r>
      <w:r w:rsidRPr="001E40A6">
        <w:rPr>
          <w:sz w:val="26"/>
          <w:szCs w:val="26"/>
        </w:rPr>
        <w:t xml:space="preserve"> to 31 March 20</w:t>
      </w:r>
      <w:r w:rsidR="006B0EF3">
        <w:rPr>
          <w:sz w:val="26"/>
          <w:szCs w:val="26"/>
        </w:rPr>
        <w:t>2</w:t>
      </w:r>
      <w:r w:rsidR="008F7806">
        <w:rPr>
          <w:sz w:val="26"/>
          <w:szCs w:val="26"/>
        </w:rPr>
        <w:t>3</w:t>
      </w:r>
      <w:r w:rsidR="001F4E66" w:rsidRPr="001E40A6">
        <w:rPr>
          <w:sz w:val="26"/>
          <w:szCs w:val="26"/>
        </w:rPr>
        <w:t xml:space="preserve"> unless otherwise stated</w:t>
      </w:r>
      <w:r w:rsidRPr="001E40A6">
        <w:rPr>
          <w:sz w:val="26"/>
          <w:szCs w:val="26"/>
        </w:rPr>
        <w:t>.</w:t>
      </w:r>
    </w:p>
    <w:p w14:paraId="7203D1AB" w14:textId="77777777" w:rsidR="001D0D71" w:rsidRPr="00107B77" w:rsidRDefault="001D0D71" w:rsidP="0047746D">
      <w:pPr>
        <w:pStyle w:val="NoSpacing"/>
        <w:jc w:val="both"/>
        <w:rPr>
          <w:sz w:val="26"/>
          <w:szCs w:val="26"/>
          <w:highlight w:val="yellow"/>
        </w:rPr>
      </w:pPr>
    </w:p>
    <w:p w14:paraId="178F877B" w14:textId="48CB7A15" w:rsidR="00F22549" w:rsidRPr="000C360A" w:rsidRDefault="3AF72296" w:rsidP="0047746D">
      <w:pPr>
        <w:pStyle w:val="NoSpacing"/>
        <w:jc w:val="both"/>
        <w:rPr>
          <w:sz w:val="26"/>
          <w:szCs w:val="26"/>
        </w:rPr>
      </w:pPr>
      <w:r w:rsidRPr="401D4F5D">
        <w:rPr>
          <w:sz w:val="26"/>
          <w:szCs w:val="26"/>
        </w:rPr>
        <w:t>Local plan</w:t>
      </w:r>
      <w:r w:rsidR="67E15571" w:rsidRPr="401D4F5D">
        <w:rPr>
          <w:sz w:val="26"/>
          <w:szCs w:val="26"/>
        </w:rPr>
        <w:t xml:space="preserve"> progress</w:t>
      </w:r>
    </w:p>
    <w:p w14:paraId="784D44FC" w14:textId="65E62809" w:rsidR="00073EAF" w:rsidRPr="000C360A" w:rsidRDefault="2550C724" w:rsidP="0047746D">
      <w:pPr>
        <w:pStyle w:val="NoSpacing"/>
        <w:numPr>
          <w:ilvl w:val="0"/>
          <w:numId w:val="4"/>
        </w:numPr>
        <w:jc w:val="both"/>
        <w:rPr>
          <w:sz w:val="26"/>
          <w:szCs w:val="26"/>
        </w:rPr>
      </w:pPr>
      <w:r w:rsidRPr="248E00CB">
        <w:rPr>
          <w:sz w:val="26"/>
          <w:szCs w:val="26"/>
        </w:rPr>
        <w:t xml:space="preserve">An updated Local Development Scheme </w:t>
      </w:r>
      <w:r w:rsidR="520EA67B" w:rsidRPr="248E00CB">
        <w:rPr>
          <w:sz w:val="26"/>
          <w:szCs w:val="26"/>
        </w:rPr>
        <w:t>was published in September 2022</w:t>
      </w:r>
      <w:r w:rsidRPr="248E00CB">
        <w:rPr>
          <w:sz w:val="26"/>
          <w:szCs w:val="26"/>
        </w:rPr>
        <w:t xml:space="preserve">.  </w:t>
      </w:r>
    </w:p>
    <w:p w14:paraId="475C6671" w14:textId="77777777" w:rsidR="00F22549" w:rsidRPr="00107B77" w:rsidRDefault="00F22549" w:rsidP="0047746D">
      <w:pPr>
        <w:pStyle w:val="NoSpacing"/>
        <w:jc w:val="both"/>
        <w:rPr>
          <w:sz w:val="26"/>
          <w:szCs w:val="26"/>
          <w:highlight w:val="yellow"/>
        </w:rPr>
      </w:pPr>
    </w:p>
    <w:p w14:paraId="3ED2D04C" w14:textId="77777777" w:rsidR="00F22549" w:rsidRPr="001E40A6" w:rsidRDefault="00F22549" w:rsidP="0047746D">
      <w:pPr>
        <w:pStyle w:val="NoSpacing"/>
        <w:jc w:val="both"/>
        <w:rPr>
          <w:sz w:val="26"/>
          <w:szCs w:val="26"/>
        </w:rPr>
      </w:pPr>
      <w:r w:rsidRPr="001E40A6">
        <w:rPr>
          <w:sz w:val="26"/>
          <w:szCs w:val="26"/>
        </w:rPr>
        <w:t>Housing</w:t>
      </w:r>
    </w:p>
    <w:p w14:paraId="388DC5E2" w14:textId="190E6227" w:rsidR="00F22549" w:rsidRPr="001E40A6" w:rsidRDefault="00F22549" w:rsidP="0047746D">
      <w:pPr>
        <w:pStyle w:val="NoSpacing"/>
        <w:numPr>
          <w:ilvl w:val="0"/>
          <w:numId w:val="4"/>
        </w:numPr>
        <w:jc w:val="both"/>
        <w:rPr>
          <w:sz w:val="26"/>
          <w:szCs w:val="26"/>
        </w:rPr>
      </w:pPr>
      <w:r w:rsidRPr="001E40A6">
        <w:rPr>
          <w:sz w:val="26"/>
          <w:szCs w:val="26"/>
        </w:rPr>
        <w:t xml:space="preserve">The latest </w:t>
      </w:r>
      <w:r w:rsidR="008F7806" w:rsidRPr="001E40A6">
        <w:rPr>
          <w:sz w:val="26"/>
          <w:szCs w:val="26"/>
        </w:rPr>
        <w:t>five-year</w:t>
      </w:r>
      <w:r w:rsidRPr="001E40A6">
        <w:rPr>
          <w:sz w:val="26"/>
          <w:szCs w:val="26"/>
        </w:rPr>
        <w:t xml:space="preserve"> supply figures </w:t>
      </w:r>
      <w:r w:rsidR="00C326CA" w:rsidRPr="001E40A6">
        <w:rPr>
          <w:sz w:val="26"/>
          <w:szCs w:val="26"/>
        </w:rPr>
        <w:t>show that</w:t>
      </w:r>
      <w:r w:rsidRPr="001E40A6">
        <w:rPr>
          <w:sz w:val="26"/>
          <w:szCs w:val="26"/>
        </w:rPr>
        <w:t xml:space="preserve"> Tamworth currently has a housing supply of</w:t>
      </w:r>
      <w:r w:rsidR="00BA456A">
        <w:rPr>
          <w:sz w:val="26"/>
          <w:szCs w:val="26"/>
        </w:rPr>
        <w:t xml:space="preserve"> 1</w:t>
      </w:r>
      <w:r w:rsidR="008F7806">
        <w:rPr>
          <w:sz w:val="26"/>
          <w:szCs w:val="26"/>
        </w:rPr>
        <w:t>0</w:t>
      </w:r>
      <w:r w:rsidR="00BA456A">
        <w:rPr>
          <w:sz w:val="26"/>
          <w:szCs w:val="26"/>
        </w:rPr>
        <w:t>.</w:t>
      </w:r>
      <w:r w:rsidR="008F7806">
        <w:rPr>
          <w:sz w:val="26"/>
          <w:szCs w:val="26"/>
        </w:rPr>
        <w:t>5</w:t>
      </w:r>
      <w:r w:rsidR="00C95B62">
        <w:rPr>
          <w:sz w:val="26"/>
          <w:szCs w:val="26"/>
        </w:rPr>
        <w:t xml:space="preserve"> </w:t>
      </w:r>
      <w:r w:rsidRPr="001E40A6">
        <w:rPr>
          <w:sz w:val="26"/>
          <w:szCs w:val="26"/>
        </w:rPr>
        <w:t>years.</w:t>
      </w:r>
    </w:p>
    <w:p w14:paraId="31ED3383" w14:textId="77777777" w:rsidR="001D0D71" w:rsidRPr="00430CF4" w:rsidRDefault="001D0D71" w:rsidP="0047746D">
      <w:pPr>
        <w:pStyle w:val="NoSpacing"/>
        <w:jc w:val="both"/>
        <w:rPr>
          <w:sz w:val="26"/>
          <w:szCs w:val="26"/>
        </w:rPr>
      </w:pPr>
    </w:p>
    <w:p w14:paraId="73DDFC35" w14:textId="1C8237B4" w:rsidR="001D0D71" w:rsidRPr="00430CF4" w:rsidRDefault="002A1B46" w:rsidP="0047746D">
      <w:pPr>
        <w:pStyle w:val="NoSpacing"/>
        <w:numPr>
          <w:ilvl w:val="0"/>
          <w:numId w:val="4"/>
        </w:numPr>
        <w:jc w:val="both"/>
        <w:rPr>
          <w:sz w:val="26"/>
          <w:szCs w:val="26"/>
        </w:rPr>
      </w:pPr>
      <w:r w:rsidRPr="248E00CB">
        <w:rPr>
          <w:sz w:val="26"/>
          <w:szCs w:val="26"/>
        </w:rPr>
        <w:t xml:space="preserve">67 dwellings (net) were granted planning permission of which 14 were </w:t>
      </w:r>
      <w:r w:rsidR="7A0F88BF" w:rsidRPr="248E00CB">
        <w:rPr>
          <w:sz w:val="26"/>
          <w:szCs w:val="26"/>
        </w:rPr>
        <w:t xml:space="preserve">given </w:t>
      </w:r>
      <w:r w:rsidR="00E80D9E" w:rsidRPr="248E00CB">
        <w:rPr>
          <w:sz w:val="26"/>
          <w:szCs w:val="26"/>
        </w:rPr>
        <w:t>outline consent</w:t>
      </w:r>
      <w:r w:rsidR="00FD21FB" w:rsidRPr="248E00CB">
        <w:rPr>
          <w:sz w:val="26"/>
          <w:szCs w:val="26"/>
        </w:rPr>
        <w:t>; r</w:t>
      </w:r>
      <w:r w:rsidR="00044336" w:rsidRPr="248E00CB">
        <w:rPr>
          <w:sz w:val="26"/>
          <w:szCs w:val="26"/>
        </w:rPr>
        <w:t xml:space="preserve">eserved matters approval is required on </w:t>
      </w:r>
      <w:r w:rsidR="00FD21FB" w:rsidRPr="248E00CB">
        <w:rPr>
          <w:sz w:val="26"/>
          <w:szCs w:val="26"/>
        </w:rPr>
        <w:t xml:space="preserve">this outline consent. </w:t>
      </w:r>
      <w:r w:rsidR="00044336" w:rsidRPr="248E00CB">
        <w:rPr>
          <w:sz w:val="26"/>
          <w:szCs w:val="26"/>
        </w:rPr>
        <w:t xml:space="preserve"> </w:t>
      </w:r>
    </w:p>
    <w:p w14:paraId="2621725E" w14:textId="77777777" w:rsidR="001F4E66" w:rsidRPr="00430CF4" w:rsidRDefault="001F4E66" w:rsidP="0047746D">
      <w:pPr>
        <w:pStyle w:val="NoSpacing"/>
        <w:jc w:val="both"/>
        <w:rPr>
          <w:sz w:val="26"/>
          <w:szCs w:val="26"/>
        </w:rPr>
      </w:pPr>
    </w:p>
    <w:p w14:paraId="6C2D5663" w14:textId="664D3034" w:rsidR="001F4E66" w:rsidRPr="003B6005" w:rsidRDefault="00C14140" w:rsidP="0047746D">
      <w:pPr>
        <w:pStyle w:val="NoSpacing"/>
        <w:numPr>
          <w:ilvl w:val="0"/>
          <w:numId w:val="4"/>
        </w:numPr>
        <w:jc w:val="both"/>
        <w:rPr>
          <w:sz w:val="26"/>
          <w:szCs w:val="26"/>
        </w:rPr>
      </w:pPr>
      <w:r w:rsidRPr="741B861B">
        <w:rPr>
          <w:sz w:val="26"/>
          <w:szCs w:val="26"/>
        </w:rPr>
        <w:t>3</w:t>
      </w:r>
      <w:r w:rsidR="005B5E74" w:rsidRPr="741B861B">
        <w:rPr>
          <w:sz w:val="26"/>
          <w:szCs w:val="26"/>
        </w:rPr>
        <w:t>59</w:t>
      </w:r>
      <w:r w:rsidR="17A9F141" w:rsidRPr="741B861B">
        <w:rPr>
          <w:sz w:val="26"/>
          <w:szCs w:val="26"/>
        </w:rPr>
        <w:t xml:space="preserve"> </w:t>
      </w:r>
      <w:r w:rsidR="26DB061A" w:rsidRPr="741B861B">
        <w:rPr>
          <w:sz w:val="26"/>
          <w:szCs w:val="26"/>
        </w:rPr>
        <w:t xml:space="preserve">dwellings were </w:t>
      </w:r>
      <w:r w:rsidR="00774673" w:rsidRPr="741B861B">
        <w:rPr>
          <w:sz w:val="26"/>
          <w:szCs w:val="26"/>
        </w:rPr>
        <w:t>completed,</w:t>
      </w:r>
      <w:r w:rsidR="40DB2E10" w:rsidRPr="741B861B">
        <w:rPr>
          <w:sz w:val="26"/>
          <w:szCs w:val="26"/>
        </w:rPr>
        <w:t xml:space="preserve"> and </w:t>
      </w:r>
      <w:r w:rsidR="0B7B8600" w:rsidRPr="741B861B">
        <w:rPr>
          <w:sz w:val="26"/>
          <w:szCs w:val="26"/>
        </w:rPr>
        <w:t>one</w:t>
      </w:r>
      <w:r w:rsidR="006F7FE6" w:rsidRPr="741B861B">
        <w:rPr>
          <w:sz w:val="26"/>
          <w:szCs w:val="26"/>
        </w:rPr>
        <w:t xml:space="preserve"> </w:t>
      </w:r>
      <w:r w:rsidR="00780BDD" w:rsidRPr="741B861B">
        <w:rPr>
          <w:sz w:val="26"/>
          <w:szCs w:val="26"/>
        </w:rPr>
        <w:t>w</w:t>
      </w:r>
      <w:r w:rsidR="7D4062D4" w:rsidRPr="741B861B">
        <w:rPr>
          <w:sz w:val="26"/>
          <w:szCs w:val="26"/>
        </w:rPr>
        <w:t>as</w:t>
      </w:r>
      <w:r w:rsidR="40DB2E10" w:rsidRPr="741B861B">
        <w:rPr>
          <w:sz w:val="26"/>
          <w:szCs w:val="26"/>
        </w:rPr>
        <w:t xml:space="preserve"> lost giving a net gain of</w:t>
      </w:r>
      <w:r w:rsidR="2550C724" w:rsidRPr="741B861B">
        <w:rPr>
          <w:sz w:val="26"/>
          <w:szCs w:val="26"/>
        </w:rPr>
        <w:t xml:space="preserve"> </w:t>
      </w:r>
      <w:r w:rsidRPr="741B861B">
        <w:rPr>
          <w:sz w:val="26"/>
          <w:szCs w:val="26"/>
        </w:rPr>
        <w:t>3</w:t>
      </w:r>
      <w:r w:rsidR="005F3EC8" w:rsidRPr="741B861B">
        <w:rPr>
          <w:sz w:val="26"/>
          <w:szCs w:val="26"/>
        </w:rPr>
        <w:t>5</w:t>
      </w:r>
      <w:r w:rsidR="5A7B0E7D" w:rsidRPr="741B861B">
        <w:rPr>
          <w:sz w:val="26"/>
          <w:szCs w:val="26"/>
        </w:rPr>
        <w:t>8</w:t>
      </w:r>
      <w:r w:rsidR="26DB061A" w:rsidRPr="741B861B">
        <w:rPr>
          <w:sz w:val="26"/>
          <w:szCs w:val="26"/>
        </w:rPr>
        <w:t xml:space="preserve">. This is </w:t>
      </w:r>
      <w:r w:rsidR="1C1CA77B" w:rsidRPr="741B861B">
        <w:rPr>
          <w:sz w:val="26"/>
          <w:szCs w:val="26"/>
        </w:rPr>
        <w:t xml:space="preserve">significantly above the </w:t>
      </w:r>
      <w:r w:rsidR="3AF72296" w:rsidRPr="741B861B">
        <w:rPr>
          <w:sz w:val="26"/>
          <w:szCs w:val="26"/>
        </w:rPr>
        <w:t>local plan</w:t>
      </w:r>
      <w:r w:rsidR="1C1CA77B" w:rsidRPr="741B861B">
        <w:rPr>
          <w:sz w:val="26"/>
          <w:szCs w:val="26"/>
        </w:rPr>
        <w:t xml:space="preserve"> target of 177.</w:t>
      </w:r>
    </w:p>
    <w:p w14:paraId="225816CB" w14:textId="77777777" w:rsidR="001F4E66" w:rsidRPr="007A7918" w:rsidRDefault="001F4E66" w:rsidP="0047746D">
      <w:pPr>
        <w:pStyle w:val="NoSpacing"/>
        <w:jc w:val="both"/>
        <w:rPr>
          <w:sz w:val="26"/>
          <w:szCs w:val="26"/>
        </w:rPr>
      </w:pPr>
    </w:p>
    <w:p w14:paraId="286F22EB" w14:textId="664B4539" w:rsidR="001F4E66" w:rsidRPr="0074052B" w:rsidRDefault="00995D74" w:rsidP="0047746D">
      <w:pPr>
        <w:pStyle w:val="NoSpacing"/>
        <w:numPr>
          <w:ilvl w:val="0"/>
          <w:numId w:val="4"/>
        </w:numPr>
        <w:jc w:val="both"/>
        <w:rPr>
          <w:sz w:val="26"/>
          <w:szCs w:val="26"/>
        </w:rPr>
      </w:pPr>
      <w:r w:rsidRPr="0074052B">
        <w:rPr>
          <w:sz w:val="26"/>
          <w:szCs w:val="26"/>
        </w:rPr>
        <w:t>7</w:t>
      </w:r>
      <w:r w:rsidR="000C2003">
        <w:rPr>
          <w:sz w:val="26"/>
          <w:szCs w:val="26"/>
        </w:rPr>
        <w:t>7</w:t>
      </w:r>
      <w:r w:rsidR="26DB061A" w:rsidRPr="0074052B">
        <w:rPr>
          <w:sz w:val="26"/>
          <w:szCs w:val="26"/>
        </w:rPr>
        <w:t xml:space="preserve">% of the dwellings granted planning permission </w:t>
      </w:r>
      <w:r w:rsidR="10D48420" w:rsidRPr="0074052B">
        <w:rPr>
          <w:sz w:val="26"/>
          <w:szCs w:val="26"/>
        </w:rPr>
        <w:t>were</w:t>
      </w:r>
      <w:r w:rsidR="26DB061A" w:rsidRPr="0074052B">
        <w:rPr>
          <w:sz w:val="26"/>
          <w:szCs w:val="26"/>
        </w:rPr>
        <w:t xml:space="preserve"> for 2 or 3 bed </w:t>
      </w:r>
      <w:r w:rsidR="4EAE39A4" w:rsidRPr="0074052B">
        <w:rPr>
          <w:sz w:val="26"/>
          <w:szCs w:val="26"/>
        </w:rPr>
        <w:t>homes</w:t>
      </w:r>
      <w:r w:rsidR="26DB061A" w:rsidRPr="0074052B">
        <w:rPr>
          <w:sz w:val="26"/>
          <w:szCs w:val="26"/>
        </w:rPr>
        <w:t xml:space="preserve">. This is broadly in line with the </w:t>
      </w:r>
      <w:r w:rsidR="3AF72296" w:rsidRPr="0074052B">
        <w:rPr>
          <w:sz w:val="26"/>
          <w:szCs w:val="26"/>
        </w:rPr>
        <w:t>local plan</w:t>
      </w:r>
      <w:r w:rsidR="26DB061A" w:rsidRPr="0074052B">
        <w:rPr>
          <w:sz w:val="26"/>
          <w:szCs w:val="26"/>
        </w:rPr>
        <w:t xml:space="preserve"> housing mix policy</w:t>
      </w:r>
      <w:r w:rsidR="16135D0D" w:rsidRPr="0074052B">
        <w:rPr>
          <w:sz w:val="26"/>
          <w:szCs w:val="26"/>
        </w:rPr>
        <w:t>.</w:t>
      </w:r>
    </w:p>
    <w:p w14:paraId="4A9B5B8D" w14:textId="77777777" w:rsidR="001F4E66" w:rsidRPr="00DB08F5" w:rsidRDefault="001F4E66" w:rsidP="0047746D">
      <w:pPr>
        <w:pStyle w:val="NoSpacing"/>
        <w:jc w:val="both"/>
        <w:rPr>
          <w:sz w:val="26"/>
          <w:szCs w:val="26"/>
        </w:rPr>
      </w:pPr>
    </w:p>
    <w:p w14:paraId="45140351" w14:textId="2799C163" w:rsidR="001F4E66" w:rsidRPr="00CD7224" w:rsidRDefault="50709F92" w:rsidP="0047746D">
      <w:pPr>
        <w:pStyle w:val="NoSpacing"/>
        <w:numPr>
          <w:ilvl w:val="0"/>
          <w:numId w:val="4"/>
        </w:numPr>
        <w:jc w:val="both"/>
        <w:rPr>
          <w:sz w:val="26"/>
          <w:szCs w:val="26"/>
        </w:rPr>
      </w:pPr>
      <w:r w:rsidRPr="248E00CB">
        <w:rPr>
          <w:sz w:val="26"/>
          <w:szCs w:val="26"/>
        </w:rPr>
        <w:t xml:space="preserve">8 </w:t>
      </w:r>
      <w:r w:rsidR="26DB061A" w:rsidRPr="248E00CB">
        <w:rPr>
          <w:sz w:val="26"/>
          <w:szCs w:val="26"/>
        </w:rPr>
        <w:t>affordable dwellings were granted consent</w:t>
      </w:r>
      <w:r w:rsidR="00E654DC">
        <w:rPr>
          <w:sz w:val="26"/>
          <w:szCs w:val="26"/>
        </w:rPr>
        <w:t>.</w:t>
      </w:r>
      <w:r w:rsidR="26DB061A" w:rsidRPr="248E00CB">
        <w:rPr>
          <w:sz w:val="26"/>
          <w:szCs w:val="26"/>
        </w:rPr>
        <w:t xml:space="preserve"> </w:t>
      </w:r>
      <w:r w:rsidR="004563CB">
        <w:rPr>
          <w:sz w:val="26"/>
          <w:szCs w:val="26"/>
        </w:rPr>
        <w:t>41</w:t>
      </w:r>
      <w:r w:rsidR="26DB061A" w:rsidRPr="248E00CB">
        <w:rPr>
          <w:sz w:val="26"/>
          <w:szCs w:val="26"/>
        </w:rPr>
        <w:t xml:space="preserve"> </w:t>
      </w:r>
      <w:r w:rsidR="00CC2EE5">
        <w:rPr>
          <w:sz w:val="26"/>
          <w:szCs w:val="26"/>
        </w:rPr>
        <w:t xml:space="preserve">affordable dwellings </w:t>
      </w:r>
      <w:r w:rsidR="26DB061A" w:rsidRPr="248E00CB">
        <w:rPr>
          <w:sz w:val="26"/>
          <w:szCs w:val="26"/>
        </w:rPr>
        <w:t>were completed in the monitoring year</w:t>
      </w:r>
      <w:r w:rsidR="00CC2EE5">
        <w:rPr>
          <w:sz w:val="26"/>
          <w:szCs w:val="26"/>
        </w:rPr>
        <w:t xml:space="preserve"> which is in line with the local plan target of 40 per year. </w:t>
      </w:r>
    </w:p>
    <w:p w14:paraId="2BD02520" w14:textId="77777777" w:rsidR="001D0D71" w:rsidRPr="00107B77" w:rsidRDefault="001D0D71" w:rsidP="0047746D">
      <w:pPr>
        <w:pStyle w:val="NoSpacing"/>
        <w:jc w:val="both"/>
        <w:rPr>
          <w:sz w:val="26"/>
          <w:szCs w:val="26"/>
          <w:highlight w:val="yellow"/>
        </w:rPr>
      </w:pPr>
    </w:p>
    <w:p w14:paraId="6B2D0946" w14:textId="529E98A6" w:rsidR="001D0D71" w:rsidRPr="00C53AB5" w:rsidRDefault="001F4E66" w:rsidP="0047746D">
      <w:pPr>
        <w:pStyle w:val="NoSpacing"/>
        <w:numPr>
          <w:ilvl w:val="0"/>
          <w:numId w:val="4"/>
        </w:numPr>
        <w:jc w:val="both"/>
        <w:rPr>
          <w:sz w:val="26"/>
          <w:szCs w:val="26"/>
        </w:rPr>
      </w:pPr>
      <w:r w:rsidRPr="00C53AB5">
        <w:rPr>
          <w:sz w:val="26"/>
          <w:szCs w:val="26"/>
        </w:rPr>
        <w:t xml:space="preserve">There are currently </w:t>
      </w:r>
      <w:r w:rsidR="00142C02">
        <w:rPr>
          <w:sz w:val="26"/>
          <w:szCs w:val="26"/>
        </w:rPr>
        <w:t>50</w:t>
      </w:r>
      <w:r w:rsidRPr="00C53AB5">
        <w:rPr>
          <w:sz w:val="26"/>
          <w:szCs w:val="26"/>
        </w:rPr>
        <w:t xml:space="preserve"> entries on the Self-Build and Custom Housebuilding Register. In 20</w:t>
      </w:r>
      <w:r w:rsidR="00583F11">
        <w:rPr>
          <w:sz w:val="26"/>
          <w:szCs w:val="26"/>
        </w:rPr>
        <w:t>22</w:t>
      </w:r>
      <w:r w:rsidRPr="00C53AB5">
        <w:rPr>
          <w:sz w:val="26"/>
          <w:szCs w:val="26"/>
        </w:rPr>
        <w:t>/</w:t>
      </w:r>
      <w:r w:rsidR="002460F2">
        <w:rPr>
          <w:sz w:val="26"/>
          <w:szCs w:val="26"/>
        </w:rPr>
        <w:t>2</w:t>
      </w:r>
      <w:r w:rsidR="00583F11">
        <w:rPr>
          <w:sz w:val="26"/>
          <w:szCs w:val="26"/>
        </w:rPr>
        <w:t>3</w:t>
      </w:r>
      <w:r w:rsidRPr="00C53AB5">
        <w:rPr>
          <w:sz w:val="26"/>
          <w:szCs w:val="26"/>
        </w:rPr>
        <w:t xml:space="preserve">, </w:t>
      </w:r>
      <w:r w:rsidR="00F7466F" w:rsidRPr="00C53AB5">
        <w:rPr>
          <w:sz w:val="26"/>
          <w:szCs w:val="26"/>
        </w:rPr>
        <w:t xml:space="preserve">no planning permissions were granted </w:t>
      </w:r>
      <w:r w:rsidRPr="00C53AB5">
        <w:rPr>
          <w:sz w:val="26"/>
          <w:szCs w:val="26"/>
        </w:rPr>
        <w:t>for dwellings</w:t>
      </w:r>
      <w:r w:rsidR="00F7466F" w:rsidRPr="00C53AB5">
        <w:rPr>
          <w:sz w:val="26"/>
          <w:szCs w:val="26"/>
        </w:rPr>
        <w:t xml:space="preserve"> that were expressly described as custom or self-build properties</w:t>
      </w:r>
      <w:r w:rsidRPr="00C53AB5">
        <w:rPr>
          <w:sz w:val="26"/>
          <w:szCs w:val="26"/>
        </w:rPr>
        <w:t>.</w:t>
      </w:r>
    </w:p>
    <w:p w14:paraId="39C9BBAA" w14:textId="77777777" w:rsidR="001F4E66" w:rsidRPr="004C0889" w:rsidRDefault="001F4E66" w:rsidP="0047746D">
      <w:pPr>
        <w:pStyle w:val="NoSpacing"/>
        <w:jc w:val="both"/>
        <w:rPr>
          <w:sz w:val="26"/>
          <w:szCs w:val="26"/>
        </w:rPr>
      </w:pPr>
    </w:p>
    <w:p w14:paraId="49AB64C0" w14:textId="11751EA1" w:rsidR="005D0D65" w:rsidRDefault="00183E36" w:rsidP="005D0D65">
      <w:pPr>
        <w:pStyle w:val="NoSpacing"/>
        <w:jc w:val="both"/>
        <w:rPr>
          <w:sz w:val="26"/>
          <w:szCs w:val="26"/>
        </w:rPr>
      </w:pPr>
      <w:r w:rsidRPr="005D0D65">
        <w:rPr>
          <w:sz w:val="26"/>
          <w:szCs w:val="26"/>
        </w:rPr>
        <w:t>Employment land</w:t>
      </w:r>
      <w:r w:rsidR="00E332DD">
        <w:rPr>
          <w:sz w:val="26"/>
          <w:szCs w:val="26"/>
        </w:rPr>
        <w:t xml:space="preserve"> and office development</w:t>
      </w:r>
    </w:p>
    <w:p w14:paraId="7B3F3FFA" w14:textId="55F21065" w:rsidR="001F4E66" w:rsidRPr="00EE4F8E" w:rsidRDefault="00DE3D74" w:rsidP="005D0D65">
      <w:pPr>
        <w:pStyle w:val="NoSpacing"/>
        <w:numPr>
          <w:ilvl w:val="0"/>
          <w:numId w:val="8"/>
        </w:numPr>
        <w:jc w:val="both"/>
        <w:rPr>
          <w:sz w:val="26"/>
          <w:szCs w:val="26"/>
        </w:rPr>
      </w:pPr>
      <w:r w:rsidRPr="005D0D65">
        <w:rPr>
          <w:sz w:val="26"/>
          <w:szCs w:val="26"/>
        </w:rPr>
        <w:t>During 20</w:t>
      </w:r>
      <w:r w:rsidR="00583F11" w:rsidRPr="005D0D65">
        <w:rPr>
          <w:sz w:val="26"/>
          <w:szCs w:val="26"/>
        </w:rPr>
        <w:t>22</w:t>
      </w:r>
      <w:r w:rsidR="00C95B62" w:rsidRPr="005D0D65">
        <w:rPr>
          <w:sz w:val="26"/>
          <w:szCs w:val="26"/>
        </w:rPr>
        <w:t>/2</w:t>
      </w:r>
      <w:r w:rsidR="00583F11" w:rsidRPr="005D0D65">
        <w:rPr>
          <w:sz w:val="26"/>
          <w:szCs w:val="26"/>
        </w:rPr>
        <w:t>3</w:t>
      </w:r>
      <w:r w:rsidR="001F4E66" w:rsidRPr="005D0D65">
        <w:rPr>
          <w:sz w:val="26"/>
          <w:szCs w:val="26"/>
        </w:rPr>
        <w:t xml:space="preserve">, </w:t>
      </w:r>
      <w:r w:rsidR="0061634F">
        <w:rPr>
          <w:sz w:val="26"/>
          <w:szCs w:val="26"/>
        </w:rPr>
        <w:t>there w</w:t>
      </w:r>
      <w:r w:rsidR="003B3B3B">
        <w:rPr>
          <w:sz w:val="26"/>
          <w:szCs w:val="26"/>
        </w:rPr>
        <w:t>ere</w:t>
      </w:r>
      <w:r w:rsidR="0061634F">
        <w:rPr>
          <w:sz w:val="26"/>
          <w:szCs w:val="26"/>
        </w:rPr>
        <w:t xml:space="preserve"> </w:t>
      </w:r>
      <w:r w:rsidR="003B3B3B">
        <w:rPr>
          <w:sz w:val="26"/>
          <w:szCs w:val="26"/>
        </w:rPr>
        <w:t>two</w:t>
      </w:r>
      <w:r w:rsidR="0061634F">
        <w:rPr>
          <w:sz w:val="26"/>
          <w:szCs w:val="26"/>
        </w:rPr>
        <w:t xml:space="preserve"> </w:t>
      </w:r>
      <w:r w:rsidR="001F4E66" w:rsidRPr="005D0D65">
        <w:rPr>
          <w:sz w:val="26"/>
          <w:szCs w:val="26"/>
        </w:rPr>
        <w:t>planning permission</w:t>
      </w:r>
      <w:r w:rsidR="003B3B3B">
        <w:rPr>
          <w:sz w:val="26"/>
          <w:szCs w:val="26"/>
        </w:rPr>
        <w:t xml:space="preserve">s </w:t>
      </w:r>
      <w:r w:rsidR="001F4E66" w:rsidRPr="005D0D65">
        <w:rPr>
          <w:sz w:val="26"/>
          <w:szCs w:val="26"/>
        </w:rPr>
        <w:t>granted which could result in a ne</w:t>
      </w:r>
      <w:r w:rsidR="005D0D65">
        <w:rPr>
          <w:sz w:val="26"/>
          <w:szCs w:val="26"/>
        </w:rPr>
        <w:t xml:space="preserve">t </w:t>
      </w:r>
      <w:r w:rsidR="001F4E66" w:rsidRPr="005D0D65">
        <w:rPr>
          <w:sz w:val="26"/>
          <w:szCs w:val="26"/>
        </w:rPr>
        <w:t xml:space="preserve">gain of </w:t>
      </w:r>
      <w:r w:rsidR="003B3B3B">
        <w:rPr>
          <w:sz w:val="26"/>
          <w:szCs w:val="26"/>
        </w:rPr>
        <w:t>230</w:t>
      </w:r>
      <w:r w:rsidR="001F4E66" w:rsidRPr="005D0D65">
        <w:rPr>
          <w:sz w:val="26"/>
          <w:szCs w:val="26"/>
        </w:rPr>
        <w:t xml:space="preserve"> sqm of employment floorspace (B2, B8). </w:t>
      </w:r>
      <w:r w:rsidR="0096367F">
        <w:rPr>
          <w:sz w:val="26"/>
          <w:szCs w:val="26"/>
        </w:rPr>
        <w:t>P</w:t>
      </w:r>
      <w:r w:rsidR="002437BE">
        <w:rPr>
          <w:sz w:val="26"/>
          <w:szCs w:val="26"/>
        </w:rPr>
        <w:t xml:space="preserve">lanning permission was granted during </w:t>
      </w:r>
      <w:r w:rsidR="00EC1D03">
        <w:rPr>
          <w:sz w:val="26"/>
          <w:szCs w:val="26"/>
        </w:rPr>
        <w:t>2022/23 that could result in a net gain of 1254 sqm of office development</w:t>
      </w:r>
      <w:r w:rsidR="009F7C5A">
        <w:rPr>
          <w:sz w:val="26"/>
          <w:szCs w:val="26"/>
        </w:rPr>
        <w:t xml:space="preserve"> floorspace (B1a</w:t>
      </w:r>
      <w:r w:rsidR="00794C56">
        <w:rPr>
          <w:rStyle w:val="FootnoteReference"/>
          <w:sz w:val="26"/>
          <w:szCs w:val="26"/>
        </w:rPr>
        <w:footnoteReference w:id="2"/>
      </w:r>
      <w:r w:rsidR="009F7C5A">
        <w:rPr>
          <w:sz w:val="26"/>
          <w:szCs w:val="26"/>
        </w:rPr>
        <w:t>)</w:t>
      </w:r>
      <w:r w:rsidR="00EC1D03">
        <w:rPr>
          <w:sz w:val="26"/>
          <w:szCs w:val="26"/>
        </w:rPr>
        <w:t xml:space="preserve">. </w:t>
      </w:r>
      <w:r w:rsidR="002969A9" w:rsidRPr="00EE4F8E">
        <w:rPr>
          <w:sz w:val="26"/>
          <w:szCs w:val="26"/>
        </w:rPr>
        <w:t>The</w:t>
      </w:r>
      <w:r w:rsidR="001F4E66" w:rsidRPr="00EE4F8E">
        <w:rPr>
          <w:sz w:val="26"/>
          <w:szCs w:val="26"/>
        </w:rPr>
        <w:t xml:space="preserve"> permissions granted during the monitoring year were for changes of use or </w:t>
      </w:r>
      <w:r w:rsidR="001D6504" w:rsidRPr="00EE4F8E">
        <w:rPr>
          <w:sz w:val="26"/>
          <w:szCs w:val="26"/>
        </w:rPr>
        <w:t>small-scale</w:t>
      </w:r>
      <w:r w:rsidR="001F4E66" w:rsidRPr="00EE4F8E">
        <w:rPr>
          <w:sz w:val="26"/>
          <w:szCs w:val="26"/>
        </w:rPr>
        <w:t xml:space="preserve"> extensions to existing operations, there were no permissions granted for large scale employment site</w:t>
      </w:r>
      <w:r w:rsidR="00183E36" w:rsidRPr="00EE4F8E">
        <w:rPr>
          <w:sz w:val="26"/>
          <w:szCs w:val="26"/>
        </w:rPr>
        <w:t>s.</w:t>
      </w:r>
      <w:r w:rsidR="00872D9B" w:rsidRPr="00EE4F8E">
        <w:rPr>
          <w:sz w:val="26"/>
          <w:szCs w:val="26"/>
        </w:rPr>
        <w:t xml:space="preserve"> </w:t>
      </w:r>
    </w:p>
    <w:p w14:paraId="448649B0" w14:textId="77777777" w:rsidR="00DE3D74" w:rsidRPr="00107B77" w:rsidRDefault="00DE3D74" w:rsidP="00DE3D74">
      <w:pPr>
        <w:pStyle w:val="NoSpacing"/>
        <w:jc w:val="both"/>
        <w:rPr>
          <w:sz w:val="26"/>
          <w:szCs w:val="26"/>
          <w:highlight w:val="yellow"/>
        </w:rPr>
      </w:pPr>
    </w:p>
    <w:p w14:paraId="0BEF5412" w14:textId="29149E46" w:rsidR="003F7D34" w:rsidRDefault="003F7D34" w:rsidP="401D4F5D">
      <w:pPr>
        <w:pStyle w:val="NoSpacing"/>
        <w:jc w:val="both"/>
        <w:rPr>
          <w:sz w:val="26"/>
          <w:szCs w:val="26"/>
          <w:highlight w:val="yellow"/>
        </w:rPr>
      </w:pPr>
      <w:r w:rsidRPr="401D4F5D">
        <w:rPr>
          <w:sz w:val="26"/>
          <w:szCs w:val="26"/>
          <w:highlight w:val="yellow"/>
        </w:rPr>
        <w:br w:type="page"/>
      </w:r>
    </w:p>
    <w:sdt>
      <w:sdtPr>
        <w:rPr>
          <w:rFonts w:asciiTheme="minorHAnsi" w:eastAsiaTheme="minorHAnsi" w:hAnsiTheme="minorHAnsi" w:cstheme="minorBidi"/>
          <w:b w:val="0"/>
          <w:bCs w:val="0"/>
          <w:color w:val="auto"/>
          <w:sz w:val="22"/>
          <w:szCs w:val="22"/>
          <w:lang w:val="en-GB" w:eastAsia="en-US"/>
        </w:rPr>
        <w:id w:val="18948632"/>
        <w:docPartObj>
          <w:docPartGallery w:val="Table of Contents"/>
          <w:docPartUnique/>
        </w:docPartObj>
      </w:sdtPr>
      <w:sdtContent>
        <w:p w14:paraId="7778E8D0" w14:textId="77777777" w:rsidR="00CC5DA0" w:rsidRPr="009B7F91" w:rsidRDefault="6FBF0C81" w:rsidP="401D4F5D">
          <w:pPr>
            <w:pStyle w:val="TOCHeading"/>
            <w:rPr>
              <w:rFonts w:asciiTheme="minorHAnsi" w:hAnsiTheme="minorHAnsi"/>
              <w:color w:val="auto"/>
            </w:rPr>
          </w:pPr>
          <w:r w:rsidRPr="401D4F5D">
            <w:rPr>
              <w:rFonts w:asciiTheme="minorHAnsi" w:hAnsiTheme="minorHAnsi"/>
              <w:color w:val="auto"/>
            </w:rPr>
            <w:t>Contents</w:t>
          </w:r>
        </w:p>
        <w:p w14:paraId="5592EB38" w14:textId="406BAF0C" w:rsidR="00FE5692" w:rsidRDefault="007925FB">
          <w:pPr>
            <w:pStyle w:val="TOC1"/>
            <w:tabs>
              <w:tab w:val="right" w:leader="dot" w:pos="9016"/>
            </w:tabs>
            <w:rPr>
              <w:rFonts w:eastAsiaTheme="minorEastAsia"/>
              <w:noProof/>
              <w:kern w:val="2"/>
              <w:lang w:eastAsia="en-GB"/>
              <w14:ligatures w14:val="standardContextual"/>
            </w:rPr>
          </w:pPr>
          <w:r>
            <w:fldChar w:fldCharType="begin"/>
          </w:r>
          <w:r w:rsidR="00CC5DA0">
            <w:instrText>TOC \o "1-3" \h \z \u</w:instrText>
          </w:r>
          <w:r>
            <w:fldChar w:fldCharType="separate"/>
          </w:r>
          <w:hyperlink w:anchor="_Toc141166582" w:history="1">
            <w:r w:rsidR="00FE5692" w:rsidRPr="002B179F">
              <w:rPr>
                <w:rStyle w:val="Hyperlink"/>
                <w:noProof/>
              </w:rPr>
              <w:t>Summary</w:t>
            </w:r>
            <w:r w:rsidR="00FE5692">
              <w:rPr>
                <w:noProof/>
                <w:webHidden/>
              </w:rPr>
              <w:tab/>
            </w:r>
            <w:r w:rsidR="00FE5692">
              <w:rPr>
                <w:noProof/>
                <w:webHidden/>
              </w:rPr>
              <w:fldChar w:fldCharType="begin"/>
            </w:r>
            <w:r w:rsidR="00FE5692">
              <w:rPr>
                <w:noProof/>
                <w:webHidden/>
              </w:rPr>
              <w:instrText xml:space="preserve"> PAGEREF _Toc141166582 \h </w:instrText>
            </w:r>
            <w:r w:rsidR="00FE5692">
              <w:rPr>
                <w:noProof/>
                <w:webHidden/>
              </w:rPr>
            </w:r>
            <w:r w:rsidR="00FE5692">
              <w:rPr>
                <w:noProof/>
                <w:webHidden/>
              </w:rPr>
              <w:fldChar w:fldCharType="separate"/>
            </w:r>
            <w:r w:rsidR="00FE5692">
              <w:rPr>
                <w:noProof/>
                <w:webHidden/>
              </w:rPr>
              <w:t>i</w:t>
            </w:r>
            <w:r w:rsidR="00FE5692">
              <w:rPr>
                <w:noProof/>
                <w:webHidden/>
              </w:rPr>
              <w:fldChar w:fldCharType="end"/>
            </w:r>
          </w:hyperlink>
        </w:p>
        <w:p w14:paraId="0056A667" w14:textId="7BD01861" w:rsidR="00FE5692" w:rsidRDefault="00000000">
          <w:pPr>
            <w:pStyle w:val="TOC1"/>
            <w:tabs>
              <w:tab w:val="right" w:leader="dot" w:pos="9016"/>
            </w:tabs>
            <w:rPr>
              <w:rFonts w:eastAsiaTheme="minorEastAsia"/>
              <w:noProof/>
              <w:kern w:val="2"/>
              <w:lang w:eastAsia="en-GB"/>
              <w14:ligatures w14:val="standardContextual"/>
            </w:rPr>
          </w:pPr>
          <w:hyperlink w:anchor="_Toc141166583" w:history="1">
            <w:r w:rsidR="00FE5692" w:rsidRPr="002B179F">
              <w:rPr>
                <w:rStyle w:val="Hyperlink"/>
                <w:noProof/>
              </w:rPr>
              <w:t>List of tables</w:t>
            </w:r>
            <w:r w:rsidR="00FE5692">
              <w:rPr>
                <w:noProof/>
                <w:webHidden/>
              </w:rPr>
              <w:tab/>
            </w:r>
            <w:r w:rsidR="00FE5692">
              <w:rPr>
                <w:noProof/>
                <w:webHidden/>
              </w:rPr>
              <w:fldChar w:fldCharType="begin"/>
            </w:r>
            <w:r w:rsidR="00FE5692">
              <w:rPr>
                <w:noProof/>
                <w:webHidden/>
              </w:rPr>
              <w:instrText xml:space="preserve"> PAGEREF _Toc141166583 \h </w:instrText>
            </w:r>
            <w:r w:rsidR="00FE5692">
              <w:rPr>
                <w:noProof/>
                <w:webHidden/>
              </w:rPr>
            </w:r>
            <w:r w:rsidR="00FE5692">
              <w:rPr>
                <w:noProof/>
                <w:webHidden/>
              </w:rPr>
              <w:fldChar w:fldCharType="separate"/>
            </w:r>
            <w:r w:rsidR="00FE5692">
              <w:rPr>
                <w:noProof/>
                <w:webHidden/>
              </w:rPr>
              <w:t>iii</w:t>
            </w:r>
            <w:r w:rsidR="00FE5692">
              <w:rPr>
                <w:noProof/>
                <w:webHidden/>
              </w:rPr>
              <w:fldChar w:fldCharType="end"/>
            </w:r>
          </w:hyperlink>
        </w:p>
        <w:p w14:paraId="173A75D7" w14:textId="1E4C0E97" w:rsidR="00FE5692" w:rsidRDefault="00000000">
          <w:pPr>
            <w:pStyle w:val="TOC1"/>
            <w:tabs>
              <w:tab w:val="right" w:leader="dot" w:pos="9016"/>
            </w:tabs>
            <w:rPr>
              <w:rFonts w:eastAsiaTheme="minorEastAsia"/>
              <w:noProof/>
              <w:kern w:val="2"/>
              <w:lang w:eastAsia="en-GB"/>
              <w14:ligatures w14:val="standardContextual"/>
            </w:rPr>
          </w:pPr>
          <w:hyperlink w:anchor="_Toc141166584" w:history="1">
            <w:r w:rsidR="00FE5692" w:rsidRPr="002B179F">
              <w:rPr>
                <w:rStyle w:val="Hyperlink"/>
                <w:noProof/>
              </w:rPr>
              <w:t>List of figures</w:t>
            </w:r>
            <w:r w:rsidR="00FE5692">
              <w:rPr>
                <w:noProof/>
                <w:webHidden/>
              </w:rPr>
              <w:tab/>
            </w:r>
            <w:r w:rsidR="00FE5692">
              <w:rPr>
                <w:noProof/>
                <w:webHidden/>
              </w:rPr>
              <w:fldChar w:fldCharType="begin"/>
            </w:r>
            <w:r w:rsidR="00FE5692">
              <w:rPr>
                <w:noProof/>
                <w:webHidden/>
              </w:rPr>
              <w:instrText xml:space="preserve"> PAGEREF _Toc141166584 \h </w:instrText>
            </w:r>
            <w:r w:rsidR="00FE5692">
              <w:rPr>
                <w:noProof/>
                <w:webHidden/>
              </w:rPr>
            </w:r>
            <w:r w:rsidR="00FE5692">
              <w:rPr>
                <w:noProof/>
                <w:webHidden/>
              </w:rPr>
              <w:fldChar w:fldCharType="separate"/>
            </w:r>
            <w:r w:rsidR="00FE5692">
              <w:rPr>
                <w:noProof/>
                <w:webHidden/>
              </w:rPr>
              <w:t>iii</w:t>
            </w:r>
            <w:r w:rsidR="00FE5692">
              <w:rPr>
                <w:noProof/>
                <w:webHidden/>
              </w:rPr>
              <w:fldChar w:fldCharType="end"/>
            </w:r>
          </w:hyperlink>
        </w:p>
        <w:p w14:paraId="38C78A54" w14:textId="7D83654B" w:rsidR="00FE5692" w:rsidRDefault="00000000">
          <w:pPr>
            <w:pStyle w:val="TOC1"/>
            <w:tabs>
              <w:tab w:val="right" w:leader="dot" w:pos="9016"/>
            </w:tabs>
            <w:rPr>
              <w:rFonts w:eastAsiaTheme="minorEastAsia"/>
              <w:noProof/>
              <w:kern w:val="2"/>
              <w:lang w:eastAsia="en-GB"/>
              <w14:ligatures w14:val="standardContextual"/>
            </w:rPr>
          </w:pPr>
          <w:hyperlink w:anchor="_Toc141166585" w:history="1">
            <w:r w:rsidR="00FE5692" w:rsidRPr="002B179F">
              <w:rPr>
                <w:rStyle w:val="Hyperlink"/>
                <w:noProof/>
              </w:rPr>
              <w:t>Purpose, scope and content of the report</w:t>
            </w:r>
            <w:r w:rsidR="00FE5692">
              <w:rPr>
                <w:noProof/>
                <w:webHidden/>
              </w:rPr>
              <w:tab/>
            </w:r>
            <w:r w:rsidR="00FE5692">
              <w:rPr>
                <w:noProof/>
                <w:webHidden/>
              </w:rPr>
              <w:fldChar w:fldCharType="begin"/>
            </w:r>
            <w:r w:rsidR="00FE5692">
              <w:rPr>
                <w:noProof/>
                <w:webHidden/>
              </w:rPr>
              <w:instrText xml:space="preserve"> PAGEREF _Toc141166585 \h </w:instrText>
            </w:r>
            <w:r w:rsidR="00FE5692">
              <w:rPr>
                <w:noProof/>
                <w:webHidden/>
              </w:rPr>
            </w:r>
            <w:r w:rsidR="00FE5692">
              <w:rPr>
                <w:noProof/>
                <w:webHidden/>
              </w:rPr>
              <w:fldChar w:fldCharType="separate"/>
            </w:r>
            <w:r w:rsidR="00FE5692">
              <w:rPr>
                <w:noProof/>
                <w:webHidden/>
              </w:rPr>
              <w:t>1</w:t>
            </w:r>
            <w:r w:rsidR="00FE5692">
              <w:rPr>
                <w:noProof/>
                <w:webHidden/>
              </w:rPr>
              <w:fldChar w:fldCharType="end"/>
            </w:r>
          </w:hyperlink>
        </w:p>
        <w:p w14:paraId="5A129CD3" w14:textId="359C1C59" w:rsidR="00FE5692" w:rsidRDefault="00000000">
          <w:pPr>
            <w:pStyle w:val="TOC1"/>
            <w:tabs>
              <w:tab w:val="right" w:leader="dot" w:pos="9016"/>
            </w:tabs>
            <w:rPr>
              <w:rFonts w:eastAsiaTheme="minorEastAsia"/>
              <w:noProof/>
              <w:kern w:val="2"/>
              <w:lang w:eastAsia="en-GB"/>
              <w14:ligatures w14:val="standardContextual"/>
            </w:rPr>
          </w:pPr>
          <w:hyperlink w:anchor="_Toc141166586" w:history="1">
            <w:r w:rsidR="00FE5692" w:rsidRPr="002B179F">
              <w:rPr>
                <w:rStyle w:val="Hyperlink"/>
                <w:noProof/>
              </w:rPr>
              <w:t>The development plan for Tamworth</w:t>
            </w:r>
            <w:r w:rsidR="00FE5692">
              <w:rPr>
                <w:noProof/>
                <w:webHidden/>
              </w:rPr>
              <w:tab/>
            </w:r>
            <w:r w:rsidR="00FE5692">
              <w:rPr>
                <w:noProof/>
                <w:webHidden/>
              </w:rPr>
              <w:fldChar w:fldCharType="begin"/>
            </w:r>
            <w:r w:rsidR="00FE5692">
              <w:rPr>
                <w:noProof/>
                <w:webHidden/>
              </w:rPr>
              <w:instrText xml:space="preserve"> PAGEREF _Toc141166586 \h </w:instrText>
            </w:r>
            <w:r w:rsidR="00FE5692">
              <w:rPr>
                <w:noProof/>
                <w:webHidden/>
              </w:rPr>
            </w:r>
            <w:r w:rsidR="00FE5692">
              <w:rPr>
                <w:noProof/>
                <w:webHidden/>
              </w:rPr>
              <w:fldChar w:fldCharType="separate"/>
            </w:r>
            <w:r w:rsidR="00FE5692">
              <w:rPr>
                <w:noProof/>
                <w:webHidden/>
              </w:rPr>
              <w:t>2</w:t>
            </w:r>
            <w:r w:rsidR="00FE5692">
              <w:rPr>
                <w:noProof/>
                <w:webHidden/>
              </w:rPr>
              <w:fldChar w:fldCharType="end"/>
            </w:r>
          </w:hyperlink>
        </w:p>
        <w:p w14:paraId="171734AE" w14:textId="18CDF7BC"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87" w:history="1">
            <w:r w:rsidR="00FE5692" w:rsidRPr="002B179F">
              <w:rPr>
                <w:rStyle w:val="Hyperlink"/>
                <w:noProof/>
              </w:rPr>
              <w:t>Tamworth local plan 2006-2031</w:t>
            </w:r>
            <w:r w:rsidR="00FE5692">
              <w:rPr>
                <w:noProof/>
                <w:webHidden/>
              </w:rPr>
              <w:tab/>
            </w:r>
            <w:r w:rsidR="00FE5692">
              <w:rPr>
                <w:noProof/>
                <w:webHidden/>
              </w:rPr>
              <w:fldChar w:fldCharType="begin"/>
            </w:r>
            <w:r w:rsidR="00FE5692">
              <w:rPr>
                <w:noProof/>
                <w:webHidden/>
              </w:rPr>
              <w:instrText xml:space="preserve"> PAGEREF _Toc141166587 \h </w:instrText>
            </w:r>
            <w:r w:rsidR="00FE5692">
              <w:rPr>
                <w:noProof/>
                <w:webHidden/>
              </w:rPr>
            </w:r>
            <w:r w:rsidR="00FE5692">
              <w:rPr>
                <w:noProof/>
                <w:webHidden/>
              </w:rPr>
              <w:fldChar w:fldCharType="separate"/>
            </w:r>
            <w:r w:rsidR="00FE5692">
              <w:rPr>
                <w:noProof/>
                <w:webHidden/>
              </w:rPr>
              <w:t>2</w:t>
            </w:r>
            <w:r w:rsidR="00FE5692">
              <w:rPr>
                <w:noProof/>
                <w:webHidden/>
              </w:rPr>
              <w:fldChar w:fldCharType="end"/>
            </w:r>
          </w:hyperlink>
        </w:p>
        <w:p w14:paraId="704CAB82" w14:textId="3A85BCDA"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88" w:history="1">
            <w:r w:rsidR="00FE5692" w:rsidRPr="002B179F">
              <w:rPr>
                <w:rStyle w:val="Hyperlink"/>
                <w:noProof/>
              </w:rPr>
              <w:t>Saved Policies of the Tamworth local plan 2001-2011</w:t>
            </w:r>
            <w:r w:rsidR="00FE5692">
              <w:rPr>
                <w:noProof/>
                <w:webHidden/>
              </w:rPr>
              <w:tab/>
            </w:r>
            <w:r w:rsidR="00FE5692">
              <w:rPr>
                <w:noProof/>
                <w:webHidden/>
              </w:rPr>
              <w:fldChar w:fldCharType="begin"/>
            </w:r>
            <w:r w:rsidR="00FE5692">
              <w:rPr>
                <w:noProof/>
                <w:webHidden/>
              </w:rPr>
              <w:instrText xml:space="preserve"> PAGEREF _Toc141166588 \h </w:instrText>
            </w:r>
            <w:r w:rsidR="00FE5692">
              <w:rPr>
                <w:noProof/>
                <w:webHidden/>
              </w:rPr>
            </w:r>
            <w:r w:rsidR="00FE5692">
              <w:rPr>
                <w:noProof/>
                <w:webHidden/>
              </w:rPr>
              <w:fldChar w:fldCharType="separate"/>
            </w:r>
            <w:r w:rsidR="00FE5692">
              <w:rPr>
                <w:noProof/>
                <w:webHidden/>
              </w:rPr>
              <w:t>2</w:t>
            </w:r>
            <w:r w:rsidR="00FE5692">
              <w:rPr>
                <w:noProof/>
                <w:webHidden/>
              </w:rPr>
              <w:fldChar w:fldCharType="end"/>
            </w:r>
          </w:hyperlink>
        </w:p>
        <w:p w14:paraId="485C9230" w14:textId="7BB9A375"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89" w:history="1">
            <w:r w:rsidR="00FE5692" w:rsidRPr="002B179F">
              <w:rPr>
                <w:rStyle w:val="Hyperlink"/>
                <w:noProof/>
              </w:rPr>
              <w:t>Statement of Community Involvement (SCI)</w:t>
            </w:r>
            <w:r w:rsidR="00FE5692">
              <w:rPr>
                <w:noProof/>
                <w:webHidden/>
              </w:rPr>
              <w:tab/>
            </w:r>
            <w:r w:rsidR="00FE5692">
              <w:rPr>
                <w:noProof/>
                <w:webHidden/>
              </w:rPr>
              <w:fldChar w:fldCharType="begin"/>
            </w:r>
            <w:r w:rsidR="00FE5692">
              <w:rPr>
                <w:noProof/>
                <w:webHidden/>
              </w:rPr>
              <w:instrText xml:space="preserve"> PAGEREF _Toc141166589 \h </w:instrText>
            </w:r>
            <w:r w:rsidR="00FE5692">
              <w:rPr>
                <w:noProof/>
                <w:webHidden/>
              </w:rPr>
            </w:r>
            <w:r w:rsidR="00FE5692">
              <w:rPr>
                <w:noProof/>
                <w:webHidden/>
              </w:rPr>
              <w:fldChar w:fldCharType="separate"/>
            </w:r>
            <w:r w:rsidR="00FE5692">
              <w:rPr>
                <w:noProof/>
                <w:webHidden/>
              </w:rPr>
              <w:t>2</w:t>
            </w:r>
            <w:r w:rsidR="00FE5692">
              <w:rPr>
                <w:noProof/>
                <w:webHidden/>
              </w:rPr>
              <w:fldChar w:fldCharType="end"/>
            </w:r>
          </w:hyperlink>
        </w:p>
        <w:p w14:paraId="22610DF0" w14:textId="594B4556" w:rsidR="00FE5692" w:rsidRDefault="00000000" w:rsidP="00BE579E">
          <w:pPr>
            <w:pStyle w:val="TOC2"/>
            <w:tabs>
              <w:tab w:val="right" w:leader="dot" w:pos="9016"/>
            </w:tabs>
            <w:ind w:left="0"/>
            <w:rPr>
              <w:rFonts w:eastAsiaTheme="minorEastAsia"/>
              <w:noProof/>
              <w:kern w:val="2"/>
              <w:lang w:eastAsia="en-GB"/>
              <w14:ligatures w14:val="standardContextual"/>
            </w:rPr>
          </w:pPr>
          <w:hyperlink w:anchor="_Toc141166590" w:history="1">
            <w:r w:rsidR="00FE5692" w:rsidRPr="002B179F">
              <w:rPr>
                <w:rStyle w:val="Hyperlink"/>
                <w:noProof/>
              </w:rPr>
              <w:t>Local Development Scheme progress</w:t>
            </w:r>
            <w:r w:rsidR="00FE5692">
              <w:rPr>
                <w:noProof/>
                <w:webHidden/>
              </w:rPr>
              <w:tab/>
            </w:r>
            <w:r w:rsidR="00FE5692">
              <w:rPr>
                <w:noProof/>
                <w:webHidden/>
              </w:rPr>
              <w:fldChar w:fldCharType="begin"/>
            </w:r>
            <w:r w:rsidR="00FE5692">
              <w:rPr>
                <w:noProof/>
                <w:webHidden/>
              </w:rPr>
              <w:instrText xml:space="preserve"> PAGEREF _Toc141166590 \h </w:instrText>
            </w:r>
            <w:r w:rsidR="00FE5692">
              <w:rPr>
                <w:noProof/>
                <w:webHidden/>
              </w:rPr>
            </w:r>
            <w:r w:rsidR="00FE5692">
              <w:rPr>
                <w:noProof/>
                <w:webHidden/>
              </w:rPr>
              <w:fldChar w:fldCharType="separate"/>
            </w:r>
            <w:r w:rsidR="00FE5692">
              <w:rPr>
                <w:noProof/>
                <w:webHidden/>
              </w:rPr>
              <w:t>2</w:t>
            </w:r>
            <w:r w:rsidR="00FE5692">
              <w:rPr>
                <w:noProof/>
                <w:webHidden/>
              </w:rPr>
              <w:fldChar w:fldCharType="end"/>
            </w:r>
          </w:hyperlink>
        </w:p>
        <w:p w14:paraId="00606325" w14:textId="2F402469"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91" w:history="1">
            <w:r w:rsidR="00FE5692" w:rsidRPr="002B179F">
              <w:rPr>
                <w:rStyle w:val="Hyperlink"/>
                <w:noProof/>
              </w:rPr>
              <w:t>Statement of Community Involvement (SCI)</w:t>
            </w:r>
            <w:r w:rsidR="00FE5692">
              <w:rPr>
                <w:noProof/>
                <w:webHidden/>
              </w:rPr>
              <w:tab/>
            </w:r>
            <w:r w:rsidR="00FE5692">
              <w:rPr>
                <w:noProof/>
                <w:webHidden/>
              </w:rPr>
              <w:fldChar w:fldCharType="begin"/>
            </w:r>
            <w:r w:rsidR="00FE5692">
              <w:rPr>
                <w:noProof/>
                <w:webHidden/>
              </w:rPr>
              <w:instrText xml:space="preserve"> PAGEREF _Toc141166591 \h </w:instrText>
            </w:r>
            <w:r w:rsidR="00FE5692">
              <w:rPr>
                <w:noProof/>
                <w:webHidden/>
              </w:rPr>
            </w:r>
            <w:r w:rsidR="00FE5692">
              <w:rPr>
                <w:noProof/>
                <w:webHidden/>
              </w:rPr>
              <w:fldChar w:fldCharType="separate"/>
            </w:r>
            <w:r w:rsidR="00FE5692">
              <w:rPr>
                <w:noProof/>
                <w:webHidden/>
              </w:rPr>
              <w:t>2</w:t>
            </w:r>
            <w:r w:rsidR="00FE5692">
              <w:rPr>
                <w:noProof/>
                <w:webHidden/>
              </w:rPr>
              <w:fldChar w:fldCharType="end"/>
            </w:r>
          </w:hyperlink>
        </w:p>
        <w:p w14:paraId="0CC82357" w14:textId="0C96A4BB"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92" w:history="1">
            <w:r w:rsidR="00FE5692" w:rsidRPr="002B179F">
              <w:rPr>
                <w:rStyle w:val="Hyperlink"/>
                <w:noProof/>
              </w:rPr>
              <w:t>Local plan update</w:t>
            </w:r>
            <w:r w:rsidR="00FE5692">
              <w:rPr>
                <w:noProof/>
                <w:webHidden/>
              </w:rPr>
              <w:tab/>
            </w:r>
            <w:r w:rsidR="00FE5692">
              <w:rPr>
                <w:noProof/>
                <w:webHidden/>
              </w:rPr>
              <w:fldChar w:fldCharType="begin"/>
            </w:r>
            <w:r w:rsidR="00FE5692">
              <w:rPr>
                <w:noProof/>
                <w:webHidden/>
              </w:rPr>
              <w:instrText xml:space="preserve"> PAGEREF _Toc141166592 \h </w:instrText>
            </w:r>
            <w:r w:rsidR="00FE5692">
              <w:rPr>
                <w:noProof/>
                <w:webHidden/>
              </w:rPr>
            </w:r>
            <w:r w:rsidR="00FE5692">
              <w:rPr>
                <w:noProof/>
                <w:webHidden/>
              </w:rPr>
              <w:fldChar w:fldCharType="separate"/>
            </w:r>
            <w:r w:rsidR="00FE5692">
              <w:rPr>
                <w:noProof/>
                <w:webHidden/>
              </w:rPr>
              <w:t>3</w:t>
            </w:r>
            <w:r w:rsidR="00FE5692">
              <w:rPr>
                <w:noProof/>
                <w:webHidden/>
              </w:rPr>
              <w:fldChar w:fldCharType="end"/>
            </w:r>
          </w:hyperlink>
        </w:p>
        <w:p w14:paraId="75006A1D" w14:textId="05CA716B"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93" w:history="1">
            <w:r w:rsidR="00FE5692" w:rsidRPr="002B179F">
              <w:rPr>
                <w:rStyle w:val="Hyperlink"/>
                <w:noProof/>
              </w:rPr>
              <w:t>Design Supplementary Planning Document</w:t>
            </w:r>
            <w:r w:rsidR="00FE5692">
              <w:rPr>
                <w:noProof/>
                <w:webHidden/>
              </w:rPr>
              <w:tab/>
            </w:r>
            <w:r w:rsidR="00FE5692">
              <w:rPr>
                <w:noProof/>
                <w:webHidden/>
              </w:rPr>
              <w:fldChar w:fldCharType="begin"/>
            </w:r>
            <w:r w:rsidR="00FE5692">
              <w:rPr>
                <w:noProof/>
                <w:webHidden/>
              </w:rPr>
              <w:instrText xml:space="preserve"> PAGEREF _Toc141166593 \h </w:instrText>
            </w:r>
            <w:r w:rsidR="00FE5692">
              <w:rPr>
                <w:noProof/>
                <w:webHidden/>
              </w:rPr>
            </w:r>
            <w:r w:rsidR="00FE5692">
              <w:rPr>
                <w:noProof/>
                <w:webHidden/>
              </w:rPr>
              <w:fldChar w:fldCharType="separate"/>
            </w:r>
            <w:r w:rsidR="00FE5692">
              <w:rPr>
                <w:noProof/>
                <w:webHidden/>
              </w:rPr>
              <w:t>3</w:t>
            </w:r>
            <w:r w:rsidR="00FE5692">
              <w:rPr>
                <w:noProof/>
                <w:webHidden/>
              </w:rPr>
              <w:fldChar w:fldCharType="end"/>
            </w:r>
          </w:hyperlink>
        </w:p>
        <w:p w14:paraId="2BF3DAE1" w14:textId="60C74ACF" w:rsidR="00FE5692" w:rsidRDefault="00000000" w:rsidP="007723AF">
          <w:pPr>
            <w:pStyle w:val="TOC3"/>
            <w:tabs>
              <w:tab w:val="right" w:leader="dot" w:pos="9016"/>
            </w:tabs>
            <w:ind w:left="0"/>
            <w:rPr>
              <w:rFonts w:eastAsiaTheme="minorEastAsia"/>
              <w:noProof/>
              <w:kern w:val="2"/>
              <w:lang w:eastAsia="en-GB"/>
              <w14:ligatures w14:val="standardContextual"/>
            </w:rPr>
          </w:pPr>
          <w:hyperlink w:anchor="_Toc141166594" w:history="1">
            <w:r w:rsidR="00FE5692" w:rsidRPr="002B179F">
              <w:rPr>
                <w:rStyle w:val="Hyperlink"/>
                <w:noProof/>
              </w:rPr>
              <w:t>Planning Obligations Supplementary Planning Document</w:t>
            </w:r>
            <w:r w:rsidR="00FE5692">
              <w:rPr>
                <w:noProof/>
                <w:webHidden/>
              </w:rPr>
              <w:tab/>
            </w:r>
            <w:r w:rsidR="00FE5692">
              <w:rPr>
                <w:noProof/>
                <w:webHidden/>
              </w:rPr>
              <w:fldChar w:fldCharType="begin"/>
            </w:r>
            <w:r w:rsidR="00FE5692">
              <w:rPr>
                <w:noProof/>
                <w:webHidden/>
              </w:rPr>
              <w:instrText xml:space="preserve"> PAGEREF _Toc141166594 \h </w:instrText>
            </w:r>
            <w:r w:rsidR="00FE5692">
              <w:rPr>
                <w:noProof/>
                <w:webHidden/>
              </w:rPr>
            </w:r>
            <w:r w:rsidR="00FE5692">
              <w:rPr>
                <w:noProof/>
                <w:webHidden/>
              </w:rPr>
              <w:fldChar w:fldCharType="separate"/>
            </w:r>
            <w:r w:rsidR="00FE5692">
              <w:rPr>
                <w:noProof/>
                <w:webHidden/>
              </w:rPr>
              <w:t>3</w:t>
            </w:r>
            <w:r w:rsidR="00FE5692">
              <w:rPr>
                <w:noProof/>
                <w:webHidden/>
              </w:rPr>
              <w:fldChar w:fldCharType="end"/>
            </w:r>
          </w:hyperlink>
        </w:p>
        <w:p w14:paraId="4520BA23" w14:textId="6B9AAD01" w:rsidR="00FE5692" w:rsidRDefault="00000000">
          <w:pPr>
            <w:pStyle w:val="TOC1"/>
            <w:tabs>
              <w:tab w:val="right" w:leader="dot" w:pos="9016"/>
            </w:tabs>
            <w:rPr>
              <w:rFonts w:eastAsiaTheme="minorEastAsia"/>
              <w:noProof/>
              <w:kern w:val="2"/>
              <w:lang w:eastAsia="en-GB"/>
              <w14:ligatures w14:val="standardContextual"/>
            </w:rPr>
          </w:pPr>
          <w:hyperlink w:anchor="_Toc141166595" w:history="1">
            <w:r w:rsidR="00FE5692" w:rsidRPr="002B179F">
              <w:rPr>
                <w:rStyle w:val="Hyperlink"/>
                <w:noProof/>
              </w:rPr>
              <w:t>Housing</w:t>
            </w:r>
            <w:r w:rsidR="00FE5692">
              <w:rPr>
                <w:noProof/>
                <w:webHidden/>
              </w:rPr>
              <w:tab/>
            </w:r>
            <w:r w:rsidR="00FE5692">
              <w:rPr>
                <w:noProof/>
                <w:webHidden/>
              </w:rPr>
              <w:fldChar w:fldCharType="begin"/>
            </w:r>
            <w:r w:rsidR="00FE5692">
              <w:rPr>
                <w:noProof/>
                <w:webHidden/>
              </w:rPr>
              <w:instrText xml:space="preserve"> PAGEREF _Toc141166595 \h </w:instrText>
            </w:r>
            <w:r w:rsidR="00FE5692">
              <w:rPr>
                <w:noProof/>
                <w:webHidden/>
              </w:rPr>
            </w:r>
            <w:r w:rsidR="00FE5692">
              <w:rPr>
                <w:noProof/>
                <w:webHidden/>
              </w:rPr>
              <w:fldChar w:fldCharType="separate"/>
            </w:r>
            <w:r w:rsidR="00FE5692">
              <w:rPr>
                <w:noProof/>
                <w:webHidden/>
              </w:rPr>
              <w:t>4</w:t>
            </w:r>
            <w:r w:rsidR="00FE5692">
              <w:rPr>
                <w:noProof/>
                <w:webHidden/>
              </w:rPr>
              <w:fldChar w:fldCharType="end"/>
            </w:r>
          </w:hyperlink>
        </w:p>
        <w:p w14:paraId="1391A6BC" w14:textId="5C8AC7DE"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596" w:history="1">
            <w:r w:rsidR="00FE5692" w:rsidRPr="002B179F">
              <w:rPr>
                <w:rStyle w:val="Hyperlink"/>
                <w:noProof/>
              </w:rPr>
              <w:t>Five-year supply</w:t>
            </w:r>
            <w:r w:rsidR="00FE5692">
              <w:rPr>
                <w:noProof/>
                <w:webHidden/>
              </w:rPr>
              <w:tab/>
            </w:r>
            <w:r w:rsidR="00FE5692">
              <w:rPr>
                <w:noProof/>
                <w:webHidden/>
              </w:rPr>
              <w:fldChar w:fldCharType="begin"/>
            </w:r>
            <w:r w:rsidR="00FE5692">
              <w:rPr>
                <w:noProof/>
                <w:webHidden/>
              </w:rPr>
              <w:instrText xml:space="preserve"> PAGEREF _Toc141166596 \h </w:instrText>
            </w:r>
            <w:r w:rsidR="00FE5692">
              <w:rPr>
                <w:noProof/>
                <w:webHidden/>
              </w:rPr>
            </w:r>
            <w:r w:rsidR="00FE5692">
              <w:rPr>
                <w:noProof/>
                <w:webHidden/>
              </w:rPr>
              <w:fldChar w:fldCharType="separate"/>
            </w:r>
            <w:r w:rsidR="00FE5692">
              <w:rPr>
                <w:noProof/>
                <w:webHidden/>
              </w:rPr>
              <w:t>4</w:t>
            </w:r>
            <w:r w:rsidR="00FE5692">
              <w:rPr>
                <w:noProof/>
                <w:webHidden/>
              </w:rPr>
              <w:fldChar w:fldCharType="end"/>
            </w:r>
          </w:hyperlink>
        </w:p>
        <w:p w14:paraId="55B641DA" w14:textId="7F979664"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597" w:history="1">
            <w:r w:rsidR="00FE5692" w:rsidRPr="002B179F">
              <w:rPr>
                <w:rStyle w:val="Hyperlink"/>
                <w:noProof/>
              </w:rPr>
              <w:t>Permissions granted</w:t>
            </w:r>
            <w:r w:rsidR="00FE5692">
              <w:rPr>
                <w:noProof/>
                <w:webHidden/>
              </w:rPr>
              <w:tab/>
            </w:r>
            <w:r w:rsidR="00FE5692">
              <w:rPr>
                <w:noProof/>
                <w:webHidden/>
              </w:rPr>
              <w:fldChar w:fldCharType="begin"/>
            </w:r>
            <w:r w:rsidR="00FE5692">
              <w:rPr>
                <w:noProof/>
                <w:webHidden/>
              </w:rPr>
              <w:instrText xml:space="preserve"> PAGEREF _Toc141166597 \h </w:instrText>
            </w:r>
            <w:r w:rsidR="00FE5692">
              <w:rPr>
                <w:noProof/>
                <w:webHidden/>
              </w:rPr>
            </w:r>
            <w:r w:rsidR="00FE5692">
              <w:rPr>
                <w:noProof/>
                <w:webHidden/>
              </w:rPr>
              <w:fldChar w:fldCharType="separate"/>
            </w:r>
            <w:r w:rsidR="00FE5692">
              <w:rPr>
                <w:noProof/>
                <w:webHidden/>
              </w:rPr>
              <w:t>4</w:t>
            </w:r>
            <w:r w:rsidR="00FE5692">
              <w:rPr>
                <w:noProof/>
                <w:webHidden/>
              </w:rPr>
              <w:fldChar w:fldCharType="end"/>
            </w:r>
          </w:hyperlink>
        </w:p>
        <w:p w14:paraId="4C0933F1" w14:textId="533BAF8E"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598" w:history="1">
            <w:r w:rsidR="00FE5692" w:rsidRPr="002B179F">
              <w:rPr>
                <w:rStyle w:val="Hyperlink"/>
                <w:noProof/>
              </w:rPr>
              <w:t>Delivery</w:t>
            </w:r>
            <w:r w:rsidR="00FE5692">
              <w:rPr>
                <w:noProof/>
                <w:webHidden/>
              </w:rPr>
              <w:tab/>
            </w:r>
            <w:r w:rsidR="00FE5692">
              <w:rPr>
                <w:noProof/>
                <w:webHidden/>
              </w:rPr>
              <w:fldChar w:fldCharType="begin"/>
            </w:r>
            <w:r w:rsidR="00FE5692">
              <w:rPr>
                <w:noProof/>
                <w:webHidden/>
              </w:rPr>
              <w:instrText xml:space="preserve"> PAGEREF _Toc141166598 \h </w:instrText>
            </w:r>
            <w:r w:rsidR="00FE5692">
              <w:rPr>
                <w:noProof/>
                <w:webHidden/>
              </w:rPr>
            </w:r>
            <w:r w:rsidR="00FE5692">
              <w:rPr>
                <w:noProof/>
                <w:webHidden/>
              </w:rPr>
              <w:fldChar w:fldCharType="separate"/>
            </w:r>
            <w:r w:rsidR="00FE5692">
              <w:rPr>
                <w:noProof/>
                <w:webHidden/>
              </w:rPr>
              <w:t>5</w:t>
            </w:r>
            <w:r w:rsidR="00FE5692">
              <w:rPr>
                <w:noProof/>
                <w:webHidden/>
              </w:rPr>
              <w:fldChar w:fldCharType="end"/>
            </w:r>
          </w:hyperlink>
        </w:p>
        <w:p w14:paraId="181A8609" w14:textId="5B276F63"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599" w:history="1">
            <w:r w:rsidR="00FE5692" w:rsidRPr="002B179F">
              <w:rPr>
                <w:rStyle w:val="Hyperlink"/>
                <w:noProof/>
              </w:rPr>
              <w:t>Affordable housing</w:t>
            </w:r>
            <w:r w:rsidR="00FE5692">
              <w:rPr>
                <w:noProof/>
                <w:webHidden/>
              </w:rPr>
              <w:tab/>
            </w:r>
            <w:r w:rsidR="00FE5692">
              <w:rPr>
                <w:noProof/>
                <w:webHidden/>
              </w:rPr>
              <w:fldChar w:fldCharType="begin"/>
            </w:r>
            <w:r w:rsidR="00FE5692">
              <w:rPr>
                <w:noProof/>
                <w:webHidden/>
              </w:rPr>
              <w:instrText xml:space="preserve"> PAGEREF _Toc141166599 \h </w:instrText>
            </w:r>
            <w:r w:rsidR="00FE5692">
              <w:rPr>
                <w:noProof/>
                <w:webHidden/>
              </w:rPr>
            </w:r>
            <w:r w:rsidR="00FE5692">
              <w:rPr>
                <w:noProof/>
                <w:webHidden/>
              </w:rPr>
              <w:fldChar w:fldCharType="separate"/>
            </w:r>
            <w:r w:rsidR="00FE5692">
              <w:rPr>
                <w:noProof/>
                <w:webHidden/>
              </w:rPr>
              <w:t>6</w:t>
            </w:r>
            <w:r w:rsidR="00FE5692">
              <w:rPr>
                <w:noProof/>
                <w:webHidden/>
              </w:rPr>
              <w:fldChar w:fldCharType="end"/>
            </w:r>
          </w:hyperlink>
        </w:p>
        <w:p w14:paraId="4C94C6CF" w14:textId="4174E930"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600" w:history="1">
            <w:r w:rsidR="00FE5692" w:rsidRPr="002B179F">
              <w:rPr>
                <w:rStyle w:val="Hyperlink"/>
                <w:noProof/>
              </w:rPr>
              <w:t>Housing mix</w:t>
            </w:r>
            <w:r w:rsidR="00FE5692">
              <w:rPr>
                <w:noProof/>
                <w:webHidden/>
              </w:rPr>
              <w:tab/>
            </w:r>
            <w:r w:rsidR="00FE5692">
              <w:rPr>
                <w:noProof/>
                <w:webHidden/>
              </w:rPr>
              <w:fldChar w:fldCharType="begin"/>
            </w:r>
            <w:r w:rsidR="00FE5692">
              <w:rPr>
                <w:noProof/>
                <w:webHidden/>
              </w:rPr>
              <w:instrText xml:space="preserve"> PAGEREF _Toc141166600 \h </w:instrText>
            </w:r>
            <w:r w:rsidR="00FE5692">
              <w:rPr>
                <w:noProof/>
                <w:webHidden/>
              </w:rPr>
            </w:r>
            <w:r w:rsidR="00FE5692">
              <w:rPr>
                <w:noProof/>
                <w:webHidden/>
              </w:rPr>
              <w:fldChar w:fldCharType="separate"/>
            </w:r>
            <w:r w:rsidR="00FE5692">
              <w:rPr>
                <w:noProof/>
                <w:webHidden/>
              </w:rPr>
              <w:t>7</w:t>
            </w:r>
            <w:r w:rsidR="00FE5692">
              <w:rPr>
                <w:noProof/>
                <w:webHidden/>
              </w:rPr>
              <w:fldChar w:fldCharType="end"/>
            </w:r>
          </w:hyperlink>
        </w:p>
        <w:p w14:paraId="029BCE3E" w14:textId="21720F61" w:rsidR="00FE5692" w:rsidRDefault="00000000">
          <w:pPr>
            <w:pStyle w:val="TOC1"/>
            <w:tabs>
              <w:tab w:val="right" w:leader="dot" w:pos="9016"/>
            </w:tabs>
            <w:rPr>
              <w:rFonts w:eastAsiaTheme="minorEastAsia"/>
              <w:noProof/>
              <w:kern w:val="2"/>
              <w:lang w:eastAsia="en-GB"/>
              <w14:ligatures w14:val="standardContextual"/>
            </w:rPr>
          </w:pPr>
          <w:hyperlink w:anchor="_Toc141166601" w:history="1">
            <w:r w:rsidR="00FE5692" w:rsidRPr="002B179F">
              <w:rPr>
                <w:rStyle w:val="Hyperlink"/>
                <w:noProof/>
              </w:rPr>
              <w:t>Self-build and custom housebuilding</w:t>
            </w:r>
            <w:r w:rsidR="00FE5692">
              <w:rPr>
                <w:noProof/>
                <w:webHidden/>
              </w:rPr>
              <w:tab/>
            </w:r>
            <w:r w:rsidR="00FE5692">
              <w:rPr>
                <w:noProof/>
                <w:webHidden/>
              </w:rPr>
              <w:fldChar w:fldCharType="begin"/>
            </w:r>
            <w:r w:rsidR="00FE5692">
              <w:rPr>
                <w:noProof/>
                <w:webHidden/>
              </w:rPr>
              <w:instrText xml:space="preserve"> PAGEREF _Toc141166601 \h </w:instrText>
            </w:r>
            <w:r w:rsidR="00FE5692">
              <w:rPr>
                <w:noProof/>
                <w:webHidden/>
              </w:rPr>
            </w:r>
            <w:r w:rsidR="00FE5692">
              <w:rPr>
                <w:noProof/>
                <w:webHidden/>
              </w:rPr>
              <w:fldChar w:fldCharType="separate"/>
            </w:r>
            <w:r w:rsidR="00FE5692">
              <w:rPr>
                <w:noProof/>
                <w:webHidden/>
              </w:rPr>
              <w:t>8</w:t>
            </w:r>
            <w:r w:rsidR="00FE5692">
              <w:rPr>
                <w:noProof/>
                <w:webHidden/>
              </w:rPr>
              <w:fldChar w:fldCharType="end"/>
            </w:r>
          </w:hyperlink>
        </w:p>
        <w:p w14:paraId="2E43C83D" w14:textId="5C3E1C22"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602" w:history="1">
            <w:r w:rsidR="00FE5692" w:rsidRPr="002B179F">
              <w:rPr>
                <w:rStyle w:val="Hyperlink"/>
                <w:noProof/>
              </w:rPr>
              <w:t>Local plan requirement</w:t>
            </w:r>
            <w:r w:rsidR="00FE5692">
              <w:rPr>
                <w:noProof/>
                <w:webHidden/>
              </w:rPr>
              <w:tab/>
            </w:r>
            <w:r w:rsidR="00FE5692">
              <w:rPr>
                <w:noProof/>
                <w:webHidden/>
              </w:rPr>
              <w:fldChar w:fldCharType="begin"/>
            </w:r>
            <w:r w:rsidR="00FE5692">
              <w:rPr>
                <w:noProof/>
                <w:webHidden/>
              </w:rPr>
              <w:instrText xml:space="preserve"> PAGEREF _Toc141166602 \h </w:instrText>
            </w:r>
            <w:r w:rsidR="00FE5692">
              <w:rPr>
                <w:noProof/>
                <w:webHidden/>
              </w:rPr>
            </w:r>
            <w:r w:rsidR="00FE5692">
              <w:rPr>
                <w:noProof/>
                <w:webHidden/>
              </w:rPr>
              <w:fldChar w:fldCharType="separate"/>
            </w:r>
            <w:r w:rsidR="00FE5692">
              <w:rPr>
                <w:noProof/>
                <w:webHidden/>
              </w:rPr>
              <w:t>9</w:t>
            </w:r>
            <w:r w:rsidR="00FE5692">
              <w:rPr>
                <w:noProof/>
                <w:webHidden/>
              </w:rPr>
              <w:fldChar w:fldCharType="end"/>
            </w:r>
          </w:hyperlink>
        </w:p>
        <w:p w14:paraId="796589FA" w14:textId="27DC6D20"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603" w:history="1">
            <w:r w:rsidR="00FE5692" w:rsidRPr="002B179F">
              <w:rPr>
                <w:rStyle w:val="Hyperlink"/>
                <w:noProof/>
              </w:rPr>
              <w:t>Allocated sites</w:t>
            </w:r>
            <w:r w:rsidR="00FE5692">
              <w:rPr>
                <w:noProof/>
                <w:webHidden/>
              </w:rPr>
              <w:tab/>
            </w:r>
            <w:r w:rsidR="00FE5692">
              <w:rPr>
                <w:noProof/>
                <w:webHidden/>
              </w:rPr>
              <w:fldChar w:fldCharType="begin"/>
            </w:r>
            <w:r w:rsidR="00FE5692">
              <w:rPr>
                <w:noProof/>
                <w:webHidden/>
              </w:rPr>
              <w:instrText xml:space="preserve"> PAGEREF _Toc141166603 \h </w:instrText>
            </w:r>
            <w:r w:rsidR="00FE5692">
              <w:rPr>
                <w:noProof/>
                <w:webHidden/>
              </w:rPr>
            </w:r>
            <w:r w:rsidR="00FE5692">
              <w:rPr>
                <w:noProof/>
                <w:webHidden/>
              </w:rPr>
              <w:fldChar w:fldCharType="separate"/>
            </w:r>
            <w:r w:rsidR="00FE5692">
              <w:rPr>
                <w:noProof/>
                <w:webHidden/>
              </w:rPr>
              <w:t>9</w:t>
            </w:r>
            <w:r w:rsidR="00FE5692">
              <w:rPr>
                <w:noProof/>
                <w:webHidden/>
              </w:rPr>
              <w:fldChar w:fldCharType="end"/>
            </w:r>
          </w:hyperlink>
        </w:p>
        <w:p w14:paraId="476B270B" w14:textId="196AF813" w:rsidR="00FE5692" w:rsidRDefault="00000000" w:rsidP="007723AF">
          <w:pPr>
            <w:pStyle w:val="TOC2"/>
            <w:tabs>
              <w:tab w:val="right" w:leader="dot" w:pos="9016"/>
            </w:tabs>
            <w:ind w:left="0"/>
            <w:rPr>
              <w:rFonts w:eastAsiaTheme="minorEastAsia"/>
              <w:noProof/>
              <w:kern w:val="2"/>
              <w:lang w:eastAsia="en-GB"/>
              <w14:ligatures w14:val="standardContextual"/>
            </w:rPr>
          </w:pPr>
          <w:hyperlink w:anchor="_Toc141166604" w:history="1">
            <w:r w:rsidR="00FE5692" w:rsidRPr="002B179F">
              <w:rPr>
                <w:rStyle w:val="Hyperlink"/>
                <w:noProof/>
              </w:rPr>
              <w:t>Permissions granted</w:t>
            </w:r>
            <w:r w:rsidR="00FE5692">
              <w:rPr>
                <w:noProof/>
                <w:webHidden/>
              </w:rPr>
              <w:tab/>
            </w:r>
            <w:r w:rsidR="00FE5692">
              <w:rPr>
                <w:noProof/>
                <w:webHidden/>
              </w:rPr>
              <w:fldChar w:fldCharType="begin"/>
            </w:r>
            <w:r w:rsidR="00FE5692">
              <w:rPr>
                <w:noProof/>
                <w:webHidden/>
              </w:rPr>
              <w:instrText xml:space="preserve"> PAGEREF _Toc141166604 \h </w:instrText>
            </w:r>
            <w:r w:rsidR="00FE5692">
              <w:rPr>
                <w:noProof/>
                <w:webHidden/>
              </w:rPr>
            </w:r>
            <w:r w:rsidR="00FE5692">
              <w:rPr>
                <w:noProof/>
                <w:webHidden/>
              </w:rPr>
              <w:fldChar w:fldCharType="separate"/>
            </w:r>
            <w:r w:rsidR="00FE5692">
              <w:rPr>
                <w:noProof/>
                <w:webHidden/>
              </w:rPr>
              <w:t>10</w:t>
            </w:r>
            <w:r w:rsidR="00FE5692">
              <w:rPr>
                <w:noProof/>
                <w:webHidden/>
              </w:rPr>
              <w:fldChar w:fldCharType="end"/>
            </w:r>
          </w:hyperlink>
        </w:p>
        <w:p w14:paraId="74C5A823" w14:textId="0C059CE7" w:rsidR="00FE5692" w:rsidRDefault="00000000">
          <w:pPr>
            <w:pStyle w:val="TOC1"/>
            <w:tabs>
              <w:tab w:val="right" w:leader="dot" w:pos="9016"/>
            </w:tabs>
            <w:rPr>
              <w:rFonts w:eastAsiaTheme="minorEastAsia"/>
              <w:noProof/>
              <w:kern w:val="2"/>
              <w:lang w:eastAsia="en-GB"/>
              <w14:ligatures w14:val="standardContextual"/>
            </w:rPr>
          </w:pPr>
          <w:hyperlink w:anchor="_Toc141166605" w:history="1">
            <w:r w:rsidR="00FE5692" w:rsidRPr="002B179F">
              <w:rPr>
                <w:rStyle w:val="Hyperlink"/>
                <w:noProof/>
              </w:rPr>
              <w:t>Conclusions and further work</w:t>
            </w:r>
            <w:r w:rsidR="00FE5692">
              <w:rPr>
                <w:noProof/>
                <w:webHidden/>
              </w:rPr>
              <w:tab/>
            </w:r>
            <w:r w:rsidR="00FE5692">
              <w:rPr>
                <w:noProof/>
                <w:webHidden/>
              </w:rPr>
              <w:fldChar w:fldCharType="begin"/>
            </w:r>
            <w:r w:rsidR="00FE5692">
              <w:rPr>
                <w:noProof/>
                <w:webHidden/>
              </w:rPr>
              <w:instrText xml:space="preserve"> PAGEREF _Toc141166605 \h </w:instrText>
            </w:r>
            <w:r w:rsidR="00FE5692">
              <w:rPr>
                <w:noProof/>
                <w:webHidden/>
              </w:rPr>
            </w:r>
            <w:r w:rsidR="00FE5692">
              <w:rPr>
                <w:noProof/>
                <w:webHidden/>
              </w:rPr>
              <w:fldChar w:fldCharType="separate"/>
            </w:r>
            <w:r w:rsidR="00FE5692">
              <w:rPr>
                <w:noProof/>
                <w:webHidden/>
              </w:rPr>
              <w:t>12</w:t>
            </w:r>
            <w:r w:rsidR="00FE5692">
              <w:rPr>
                <w:noProof/>
                <w:webHidden/>
              </w:rPr>
              <w:fldChar w:fldCharType="end"/>
            </w:r>
          </w:hyperlink>
        </w:p>
        <w:p w14:paraId="5DD02A11" w14:textId="1BA01B6F" w:rsidR="00FE5692" w:rsidRDefault="00000000">
          <w:pPr>
            <w:pStyle w:val="TOC1"/>
            <w:tabs>
              <w:tab w:val="right" w:leader="dot" w:pos="9016"/>
            </w:tabs>
            <w:rPr>
              <w:rFonts w:eastAsiaTheme="minorEastAsia"/>
              <w:noProof/>
              <w:kern w:val="2"/>
              <w:lang w:eastAsia="en-GB"/>
              <w14:ligatures w14:val="standardContextual"/>
            </w:rPr>
          </w:pPr>
          <w:hyperlink w:anchor="_Toc141166606" w:history="1">
            <w:r w:rsidR="00FE5692" w:rsidRPr="002B179F">
              <w:rPr>
                <w:rStyle w:val="Hyperlink"/>
                <w:noProof/>
              </w:rPr>
              <w:t>Related documents</w:t>
            </w:r>
            <w:r w:rsidR="00FE5692">
              <w:rPr>
                <w:noProof/>
                <w:webHidden/>
              </w:rPr>
              <w:tab/>
            </w:r>
            <w:r w:rsidR="00FE5692">
              <w:rPr>
                <w:noProof/>
                <w:webHidden/>
              </w:rPr>
              <w:fldChar w:fldCharType="begin"/>
            </w:r>
            <w:r w:rsidR="00FE5692">
              <w:rPr>
                <w:noProof/>
                <w:webHidden/>
              </w:rPr>
              <w:instrText xml:space="preserve"> PAGEREF _Toc141166606 \h </w:instrText>
            </w:r>
            <w:r w:rsidR="00FE5692">
              <w:rPr>
                <w:noProof/>
                <w:webHidden/>
              </w:rPr>
            </w:r>
            <w:r w:rsidR="00FE5692">
              <w:rPr>
                <w:noProof/>
                <w:webHidden/>
              </w:rPr>
              <w:fldChar w:fldCharType="separate"/>
            </w:r>
            <w:r w:rsidR="00FE5692">
              <w:rPr>
                <w:noProof/>
                <w:webHidden/>
              </w:rPr>
              <w:t>13</w:t>
            </w:r>
            <w:r w:rsidR="00FE5692">
              <w:rPr>
                <w:noProof/>
                <w:webHidden/>
              </w:rPr>
              <w:fldChar w:fldCharType="end"/>
            </w:r>
          </w:hyperlink>
        </w:p>
        <w:p w14:paraId="15EAC8FC" w14:textId="483F7DF0" w:rsidR="00FE5692" w:rsidRDefault="00000000">
          <w:pPr>
            <w:pStyle w:val="TOC1"/>
            <w:tabs>
              <w:tab w:val="right" w:leader="dot" w:pos="9016"/>
            </w:tabs>
            <w:rPr>
              <w:rFonts w:eastAsiaTheme="minorEastAsia"/>
              <w:noProof/>
              <w:kern w:val="2"/>
              <w:lang w:eastAsia="en-GB"/>
              <w14:ligatures w14:val="standardContextual"/>
            </w:rPr>
          </w:pPr>
          <w:hyperlink w:anchor="_Toc141166607" w:history="1">
            <w:r w:rsidR="00FE5692" w:rsidRPr="002B179F">
              <w:rPr>
                <w:rStyle w:val="Hyperlink"/>
                <w:noProof/>
              </w:rPr>
              <w:t>List of abbreviations</w:t>
            </w:r>
            <w:r w:rsidR="00FE5692">
              <w:rPr>
                <w:noProof/>
                <w:webHidden/>
              </w:rPr>
              <w:tab/>
            </w:r>
            <w:r w:rsidR="00FE5692">
              <w:rPr>
                <w:noProof/>
                <w:webHidden/>
              </w:rPr>
              <w:fldChar w:fldCharType="begin"/>
            </w:r>
            <w:r w:rsidR="00FE5692">
              <w:rPr>
                <w:noProof/>
                <w:webHidden/>
              </w:rPr>
              <w:instrText xml:space="preserve"> PAGEREF _Toc141166607 \h </w:instrText>
            </w:r>
            <w:r w:rsidR="00FE5692">
              <w:rPr>
                <w:noProof/>
                <w:webHidden/>
              </w:rPr>
            </w:r>
            <w:r w:rsidR="00FE5692">
              <w:rPr>
                <w:noProof/>
                <w:webHidden/>
              </w:rPr>
              <w:fldChar w:fldCharType="separate"/>
            </w:r>
            <w:r w:rsidR="00FE5692">
              <w:rPr>
                <w:noProof/>
                <w:webHidden/>
              </w:rPr>
              <w:t>13</w:t>
            </w:r>
            <w:r w:rsidR="00FE5692">
              <w:rPr>
                <w:noProof/>
                <w:webHidden/>
              </w:rPr>
              <w:fldChar w:fldCharType="end"/>
            </w:r>
          </w:hyperlink>
        </w:p>
        <w:p w14:paraId="3F293CF6" w14:textId="6B2D3A38" w:rsidR="001519E8" w:rsidRDefault="007925FB" w:rsidP="401D4F5D">
          <w:pPr>
            <w:pStyle w:val="TOC1"/>
            <w:tabs>
              <w:tab w:val="right" w:leader="dot" w:pos="9015"/>
            </w:tabs>
            <w:rPr>
              <w:rStyle w:val="Hyperlink"/>
              <w:noProof/>
              <w:lang w:eastAsia="en-GB"/>
            </w:rPr>
          </w:pPr>
          <w:r>
            <w:fldChar w:fldCharType="end"/>
          </w:r>
        </w:p>
      </w:sdtContent>
    </w:sdt>
    <w:p w14:paraId="2A5760FC" w14:textId="77777777" w:rsidR="00CC5DA0" w:rsidRPr="00107B77" w:rsidRDefault="00CC5DA0">
      <w:pPr>
        <w:rPr>
          <w:highlight w:val="yellow"/>
        </w:rPr>
      </w:pPr>
    </w:p>
    <w:p w14:paraId="75305A04" w14:textId="77777777" w:rsidR="00295CC8" w:rsidRPr="00107B77" w:rsidRDefault="00295CC8">
      <w:pPr>
        <w:rPr>
          <w:b/>
          <w:sz w:val="48"/>
          <w:szCs w:val="48"/>
          <w:highlight w:val="yellow"/>
        </w:rPr>
      </w:pPr>
      <w:r w:rsidRPr="00107B77">
        <w:rPr>
          <w:b/>
          <w:sz w:val="48"/>
          <w:szCs w:val="48"/>
          <w:highlight w:val="yellow"/>
        </w:rPr>
        <w:br w:type="page"/>
      </w:r>
    </w:p>
    <w:p w14:paraId="5AFA4DAD" w14:textId="77777777" w:rsidR="008469ED" w:rsidRPr="00107B77" w:rsidRDefault="008469ED">
      <w:pPr>
        <w:pStyle w:val="TableofFigures"/>
        <w:tabs>
          <w:tab w:val="right" w:leader="dot" w:pos="9016"/>
        </w:tabs>
        <w:rPr>
          <w:b/>
          <w:sz w:val="26"/>
          <w:szCs w:val="26"/>
          <w:highlight w:val="yellow"/>
        </w:rPr>
      </w:pPr>
    </w:p>
    <w:p w14:paraId="4F82DA5C" w14:textId="77777777" w:rsidR="008469ED" w:rsidRPr="00007D0C" w:rsidRDefault="3FE8BE13" w:rsidP="008469ED">
      <w:pPr>
        <w:pStyle w:val="Heading1"/>
      </w:pPr>
      <w:bookmarkStart w:id="1" w:name="_Toc141166583"/>
      <w:r>
        <w:t>List of tables</w:t>
      </w:r>
      <w:bookmarkEnd w:id="1"/>
    </w:p>
    <w:p w14:paraId="69FFE691" w14:textId="77777777" w:rsidR="00F86B20" w:rsidRPr="00107B77" w:rsidRDefault="00F86B20">
      <w:pPr>
        <w:pStyle w:val="TableofFigures"/>
        <w:tabs>
          <w:tab w:val="right" w:leader="dot" w:pos="9016"/>
        </w:tabs>
        <w:rPr>
          <w:sz w:val="26"/>
          <w:szCs w:val="26"/>
          <w:highlight w:val="yellow"/>
        </w:rPr>
      </w:pPr>
    </w:p>
    <w:p w14:paraId="48366534" w14:textId="08D76B8B" w:rsidR="00B71F48" w:rsidRDefault="00B71F48">
      <w:pPr>
        <w:pStyle w:val="TableofFigures"/>
        <w:tabs>
          <w:tab w:val="right" w:leader="dot" w:pos="9016"/>
        </w:tabs>
        <w:rPr>
          <w:rFonts w:eastAsiaTheme="minorEastAsia"/>
          <w:noProof/>
          <w:lang w:eastAsia="en-GB"/>
        </w:rPr>
      </w:pPr>
      <w:r>
        <w:rPr>
          <w:sz w:val="26"/>
          <w:szCs w:val="26"/>
          <w:highlight w:val="yellow"/>
        </w:rPr>
        <w:fldChar w:fldCharType="begin"/>
      </w:r>
      <w:r>
        <w:rPr>
          <w:sz w:val="26"/>
          <w:szCs w:val="26"/>
          <w:highlight w:val="yellow"/>
        </w:rPr>
        <w:instrText xml:space="preserve"> TOC \c "Table" </w:instrText>
      </w:r>
      <w:r>
        <w:rPr>
          <w:sz w:val="26"/>
          <w:szCs w:val="26"/>
          <w:highlight w:val="yellow"/>
        </w:rPr>
        <w:fldChar w:fldCharType="separate"/>
      </w:r>
      <w:r w:rsidRPr="00130E8E">
        <w:rPr>
          <w:i/>
          <w:noProof/>
        </w:rPr>
        <w:t>Table 1 Permission</w:t>
      </w:r>
      <w:r w:rsidR="00463A03">
        <w:rPr>
          <w:i/>
          <w:noProof/>
        </w:rPr>
        <w:t>s</w:t>
      </w:r>
      <w:r w:rsidRPr="00130E8E">
        <w:rPr>
          <w:i/>
          <w:noProof/>
        </w:rPr>
        <w:t xml:space="preserve"> granted</w:t>
      </w:r>
      <w:r>
        <w:rPr>
          <w:noProof/>
        </w:rPr>
        <w:tab/>
      </w:r>
      <w:r>
        <w:rPr>
          <w:noProof/>
        </w:rPr>
        <w:fldChar w:fldCharType="begin"/>
      </w:r>
      <w:r>
        <w:rPr>
          <w:noProof/>
        </w:rPr>
        <w:instrText xml:space="preserve"> PAGEREF _Toc133397743 \h </w:instrText>
      </w:r>
      <w:r>
        <w:rPr>
          <w:noProof/>
        </w:rPr>
      </w:r>
      <w:r>
        <w:rPr>
          <w:noProof/>
        </w:rPr>
        <w:fldChar w:fldCharType="separate"/>
      </w:r>
      <w:r w:rsidR="00782072">
        <w:rPr>
          <w:noProof/>
        </w:rPr>
        <w:t>4</w:t>
      </w:r>
      <w:r>
        <w:rPr>
          <w:noProof/>
        </w:rPr>
        <w:fldChar w:fldCharType="end"/>
      </w:r>
    </w:p>
    <w:p w14:paraId="69D54D56" w14:textId="40B18E73" w:rsidR="00B71F48" w:rsidRDefault="00B71F48">
      <w:pPr>
        <w:pStyle w:val="TableofFigures"/>
        <w:tabs>
          <w:tab w:val="right" w:leader="dot" w:pos="9016"/>
        </w:tabs>
        <w:rPr>
          <w:rFonts w:eastAsiaTheme="minorEastAsia"/>
          <w:noProof/>
          <w:lang w:eastAsia="en-GB"/>
        </w:rPr>
      </w:pPr>
      <w:r w:rsidRPr="00130E8E">
        <w:rPr>
          <w:i/>
          <w:noProof/>
        </w:rPr>
        <w:t xml:space="preserve">Table 2: Affordable </w:t>
      </w:r>
      <w:r w:rsidR="00137F6E">
        <w:rPr>
          <w:i/>
          <w:noProof/>
        </w:rPr>
        <w:t>h</w:t>
      </w:r>
      <w:r w:rsidRPr="00130E8E">
        <w:rPr>
          <w:i/>
          <w:noProof/>
        </w:rPr>
        <w:t xml:space="preserve">ousing </w:t>
      </w:r>
      <w:r w:rsidR="00137F6E">
        <w:rPr>
          <w:i/>
          <w:noProof/>
        </w:rPr>
        <w:t>p</w:t>
      </w:r>
      <w:r w:rsidRPr="00130E8E">
        <w:rPr>
          <w:i/>
          <w:noProof/>
        </w:rPr>
        <w:t>ermissions</w:t>
      </w:r>
      <w:r>
        <w:rPr>
          <w:noProof/>
        </w:rPr>
        <w:tab/>
      </w:r>
      <w:r>
        <w:rPr>
          <w:noProof/>
        </w:rPr>
        <w:fldChar w:fldCharType="begin"/>
      </w:r>
      <w:r>
        <w:rPr>
          <w:noProof/>
        </w:rPr>
        <w:instrText xml:space="preserve"> PAGEREF _Toc133397744 \h </w:instrText>
      </w:r>
      <w:r>
        <w:rPr>
          <w:noProof/>
        </w:rPr>
      </w:r>
      <w:r>
        <w:rPr>
          <w:noProof/>
        </w:rPr>
        <w:fldChar w:fldCharType="separate"/>
      </w:r>
      <w:r w:rsidR="00782072">
        <w:rPr>
          <w:noProof/>
        </w:rPr>
        <w:t>6</w:t>
      </w:r>
      <w:r>
        <w:rPr>
          <w:noProof/>
        </w:rPr>
        <w:fldChar w:fldCharType="end"/>
      </w:r>
    </w:p>
    <w:p w14:paraId="3704C717" w14:textId="3D15D91A" w:rsidR="00B71F48" w:rsidRDefault="00B71F48">
      <w:pPr>
        <w:pStyle w:val="TableofFigures"/>
        <w:tabs>
          <w:tab w:val="right" w:leader="dot" w:pos="9016"/>
        </w:tabs>
        <w:rPr>
          <w:rFonts w:eastAsiaTheme="minorEastAsia"/>
          <w:noProof/>
          <w:lang w:eastAsia="en-GB"/>
        </w:rPr>
      </w:pPr>
      <w:r w:rsidRPr="00130E8E">
        <w:rPr>
          <w:i/>
          <w:noProof/>
        </w:rPr>
        <w:t xml:space="preserve">Table 3: Affordable </w:t>
      </w:r>
      <w:r w:rsidR="00137F6E">
        <w:rPr>
          <w:i/>
          <w:noProof/>
        </w:rPr>
        <w:t>c</w:t>
      </w:r>
      <w:r w:rsidRPr="00130E8E">
        <w:rPr>
          <w:i/>
          <w:noProof/>
        </w:rPr>
        <w:t>ompletions</w:t>
      </w:r>
      <w:r>
        <w:rPr>
          <w:noProof/>
        </w:rPr>
        <w:tab/>
      </w:r>
      <w:r>
        <w:rPr>
          <w:noProof/>
        </w:rPr>
        <w:fldChar w:fldCharType="begin"/>
      </w:r>
      <w:r>
        <w:rPr>
          <w:noProof/>
        </w:rPr>
        <w:instrText xml:space="preserve"> PAGEREF _Toc133397745 \h </w:instrText>
      </w:r>
      <w:r>
        <w:rPr>
          <w:noProof/>
        </w:rPr>
      </w:r>
      <w:r>
        <w:rPr>
          <w:noProof/>
        </w:rPr>
        <w:fldChar w:fldCharType="separate"/>
      </w:r>
      <w:r w:rsidR="00782072">
        <w:rPr>
          <w:noProof/>
        </w:rPr>
        <w:t>7</w:t>
      </w:r>
      <w:r>
        <w:rPr>
          <w:noProof/>
        </w:rPr>
        <w:fldChar w:fldCharType="end"/>
      </w:r>
    </w:p>
    <w:p w14:paraId="4D5697F1" w14:textId="67AD6B2D" w:rsidR="00B71F48" w:rsidRDefault="00B71F48">
      <w:pPr>
        <w:pStyle w:val="TableofFigures"/>
        <w:tabs>
          <w:tab w:val="right" w:leader="dot" w:pos="9016"/>
        </w:tabs>
        <w:rPr>
          <w:rFonts w:eastAsiaTheme="minorEastAsia"/>
          <w:noProof/>
          <w:lang w:eastAsia="en-GB"/>
        </w:rPr>
      </w:pPr>
      <w:r w:rsidRPr="00130E8E">
        <w:rPr>
          <w:i/>
          <w:noProof/>
        </w:rPr>
        <w:t xml:space="preserve">Table 4: Progress on </w:t>
      </w:r>
      <w:r w:rsidR="00137F6E">
        <w:rPr>
          <w:i/>
          <w:noProof/>
        </w:rPr>
        <w:t>a</w:t>
      </w:r>
      <w:r w:rsidRPr="00130E8E">
        <w:rPr>
          <w:i/>
          <w:noProof/>
        </w:rPr>
        <w:t xml:space="preserve">llocated </w:t>
      </w:r>
      <w:r w:rsidR="00137F6E">
        <w:rPr>
          <w:i/>
          <w:noProof/>
        </w:rPr>
        <w:t>e</w:t>
      </w:r>
      <w:r w:rsidRPr="00130E8E">
        <w:rPr>
          <w:i/>
          <w:noProof/>
        </w:rPr>
        <w:t xml:space="preserve">mployment </w:t>
      </w:r>
      <w:r w:rsidR="00137F6E">
        <w:rPr>
          <w:i/>
          <w:noProof/>
        </w:rPr>
        <w:t>s</w:t>
      </w:r>
      <w:r w:rsidRPr="00130E8E">
        <w:rPr>
          <w:i/>
          <w:noProof/>
        </w:rPr>
        <w:t>ites</w:t>
      </w:r>
      <w:r>
        <w:rPr>
          <w:noProof/>
        </w:rPr>
        <w:tab/>
      </w:r>
      <w:r>
        <w:rPr>
          <w:noProof/>
        </w:rPr>
        <w:fldChar w:fldCharType="begin"/>
      </w:r>
      <w:r>
        <w:rPr>
          <w:noProof/>
        </w:rPr>
        <w:instrText xml:space="preserve"> PAGEREF _Toc133397746 \h </w:instrText>
      </w:r>
      <w:r>
        <w:rPr>
          <w:noProof/>
        </w:rPr>
      </w:r>
      <w:r>
        <w:rPr>
          <w:noProof/>
        </w:rPr>
        <w:fldChar w:fldCharType="separate"/>
      </w:r>
      <w:r w:rsidR="00782072">
        <w:rPr>
          <w:noProof/>
        </w:rPr>
        <w:t>10</w:t>
      </w:r>
      <w:r>
        <w:rPr>
          <w:noProof/>
        </w:rPr>
        <w:fldChar w:fldCharType="end"/>
      </w:r>
    </w:p>
    <w:p w14:paraId="0E0FE98C" w14:textId="22008F09" w:rsidR="00B71F48" w:rsidRDefault="00B71F48">
      <w:pPr>
        <w:pStyle w:val="TableofFigures"/>
        <w:tabs>
          <w:tab w:val="right" w:leader="dot" w:pos="9016"/>
        </w:tabs>
        <w:rPr>
          <w:rFonts w:eastAsiaTheme="minorEastAsia"/>
          <w:noProof/>
          <w:lang w:eastAsia="en-GB"/>
        </w:rPr>
      </w:pPr>
      <w:r w:rsidRPr="00130E8E">
        <w:rPr>
          <w:rFonts w:ascii="Calibri" w:hAnsi="Calibri"/>
          <w:i/>
          <w:noProof/>
        </w:rPr>
        <w:t>Table 5: 20</w:t>
      </w:r>
      <w:r w:rsidR="007A4C2B">
        <w:rPr>
          <w:rFonts w:ascii="Calibri" w:hAnsi="Calibri"/>
          <w:i/>
          <w:noProof/>
        </w:rPr>
        <w:t>22</w:t>
      </w:r>
      <w:r w:rsidRPr="00130E8E">
        <w:rPr>
          <w:rFonts w:ascii="Calibri" w:hAnsi="Calibri"/>
          <w:i/>
          <w:noProof/>
        </w:rPr>
        <w:t>/</w:t>
      </w:r>
      <w:r w:rsidR="007A4C2B">
        <w:rPr>
          <w:rFonts w:ascii="Calibri" w:hAnsi="Calibri"/>
          <w:i/>
          <w:noProof/>
        </w:rPr>
        <w:t>23</w:t>
      </w:r>
      <w:r w:rsidRPr="00130E8E">
        <w:rPr>
          <w:rFonts w:ascii="Calibri" w:hAnsi="Calibri"/>
          <w:i/>
          <w:noProof/>
        </w:rPr>
        <w:t xml:space="preserve"> B Class permissions granted</w:t>
      </w:r>
      <w:r>
        <w:rPr>
          <w:noProof/>
        </w:rPr>
        <w:tab/>
      </w:r>
      <w:r>
        <w:rPr>
          <w:noProof/>
        </w:rPr>
        <w:fldChar w:fldCharType="begin"/>
      </w:r>
      <w:r>
        <w:rPr>
          <w:noProof/>
        </w:rPr>
        <w:instrText xml:space="preserve"> PAGEREF _Toc133397747 \h </w:instrText>
      </w:r>
      <w:r>
        <w:rPr>
          <w:noProof/>
        </w:rPr>
      </w:r>
      <w:r>
        <w:rPr>
          <w:noProof/>
        </w:rPr>
        <w:fldChar w:fldCharType="separate"/>
      </w:r>
      <w:r w:rsidR="00782072">
        <w:rPr>
          <w:noProof/>
        </w:rPr>
        <w:t>10</w:t>
      </w:r>
      <w:r>
        <w:rPr>
          <w:noProof/>
        </w:rPr>
        <w:fldChar w:fldCharType="end"/>
      </w:r>
    </w:p>
    <w:p w14:paraId="16616224" w14:textId="137F500B" w:rsidR="008469ED" w:rsidRPr="00107B77" w:rsidRDefault="00B71F48" w:rsidP="008469ED">
      <w:pPr>
        <w:rPr>
          <w:sz w:val="26"/>
          <w:szCs w:val="26"/>
          <w:highlight w:val="yellow"/>
        </w:rPr>
      </w:pPr>
      <w:r>
        <w:rPr>
          <w:sz w:val="26"/>
          <w:szCs w:val="26"/>
          <w:highlight w:val="yellow"/>
        </w:rPr>
        <w:fldChar w:fldCharType="end"/>
      </w:r>
    </w:p>
    <w:p w14:paraId="30FEC6DC" w14:textId="77777777" w:rsidR="008469ED" w:rsidRPr="00007D0C" w:rsidRDefault="3FE8BE13" w:rsidP="008469ED">
      <w:pPr>
        <w:pStyle w:val="Heading1"/>
      </w:pPr>
      <w:bookmarkStart w:id="2" w:name="_Toc141166584"/>
      <w:r>
        <w:t>List of figures</w:t>
      </w:r>
      <w:bookmarkEnd w:id="2"/>
    </w:p>
    <w:p w14:paraId="391FC036" w14:textId="77777777" w:rsidR="00F86B20" w:rsidRPr="00107B77" w:rsidRDefault="00F86B20">
      <w:pPr>
        <w:pStyle w:val="TableofFigures"/>
        <w:tabs>
          <w:tab w:val="right" w:leader="dot" w:pos="9016"/>
        </w:tabs>
        <w:rPr>
          <w:b/>
          <w:sz w:val="26"/>
          <w:szCs w:val="26"/>
          <w:highlight w:val="yellow"/>
        </w:rPr>
      </w:pPr>
    </w:p>
    <w:p w14:paraId="46E468E9" w14:textId="57283059" w:rsidR="007A4C2B" w:rsidRDefault="008469ED">
      <w:pPr>
        <w:pStyle w:val="TableofFigures"/>
        <w:tabs>
          <w:tab w:val="right" w:leader="dot" w:pos="9016"/>
        </w:tabs>
        <w:rPr>
          <w:rFonts w:eastAsiaTheme="minorEastAsia"/>
          <w:noProof/>
          <w:lang w:eastAsia="en-GB"/>
        </w:rPr>
      </w:pPr>
      <w:r w:rsidRPr="00107B77">
        <w:rPr>
          <w:b/>
          <w:sz w:val="26"/>
          <w:szCs w:val="26"/>
          <w:highlight w:val="yellow"/>
        </w:rPr>
        <w:fldChar w:fldCharType="begin"/>
      </w:r>
      <w:r w:rsidRPr="00107B77">
        <w:rPr>
          <w:b/>
          <w:sz w:val="26"/>
          <w:szCs w:val="26"/>
          <w:highlight w:val="yellow"/>
        </w:rPr>
        <w:instrText xml:space="preserve"> TOC \c "Figure" </w:instrText>
      </w:r>
      <w:r w:rsidRPr="00107B77">
        <w:rPr>
          <w:b/>
          <w:sz w:val="26"/>
          <w:szCs w:val="26"/>
          <w:highlight w:val="yellow"/>
        </w:rPr>
        <w:fldChar w:fldCharType="separate"/>
      </w:r>
      <w:r w:rsidR="007A4C2B" w:rsidRPr="002257D7">
        <w:rPr>
          <w:i/>
          <w:noProof/>
        </w:rPr>
        <w:t xml:space="preserve">Figure 1: Cumulative </w:t>
      </w:r>
      <w:r w:rsidR="00137F6E">
        <w:rPr>
          <w:i/>
          <w:noProof/>
        </w:rPr>
        <w:t>h</w:t>
      </w:r>
      <w:r w:rsidR="007A4C2B" w:rsidRPr="002257D7">
        <w:rPr>
          <w:i/>
          <w:noProof/>
        </w:rPr>
        <w:t xml:space="preserve">ousing </w:t>
      </w:r>
      <w:r w:rsidR="00137F6E">
        <w:rPr>
          <w:i/>
          <w:noProof/>
        </w:rPr>
        <w:t>d</w:t>
      </w:r>
      <w:r w:rsidR="007A4C2B" w:rsidRPr="002257D7">
        <w:rPr>
          <w:i/>
          <w:noProof/>
        </w:rPr>
        <w:t>elivery</w:t>
      </w:r>
      <w:r w:rsidR="007A4C2B">
        <w:rPr>
          <w:noProof/>
        </w:rPr>
        <w:tab/>
      </w:r>
      <w:r w:rsidR="007A4C2B">
        <w:rPr>
          <w:noProof/>
        </w:rPr>
        <w:fldChar w:fldCharType="begin"/>
      </w:r>
      <w:r w:rsidR="007A4C2B">
        <w:rPr>
          <w:noProof/>
        </w:rPr>
        <w:instrText xml:space="preserve"> PAGEREF _Toc133397770 \h </w:instrText>
      </w:r>
      <w:r w:rsidR="007A4C2B">
        <w:rPr>
          <w:noProof/>
        </w:rPr>
      </w:r>
      <w:r w:rsidR="007A4C2B">
        <w:rPr>
          <w:noProof/>
        </w:rPr>
        <w:fldChar w:fldCharType="separate"/>
      </w:r>
      <w:r w:rsidR="00782072">
        <w:rPr>
          <w:noProof/>
        </w:rPr>
        <w:t>5</w:t>
      </w:r>
      <w:r w:rsidR="007A4C2B">
        <w:rPr>
          <w:noProof/>
        </w:rPr>
        <w:fldChar w:fldCharType="end"/>
      </w:r>
    </w:p>
    <w:p w14:paraId="43998836" w14:textId="409AAAD2" w:rsidR="007A4C2B" w:rsidRDefault="00A84FE3">
      <w:pPr>
        <w:pStyle w:val="TableofFigures"/>
        <w:tabs>
          <w:tab w:val="right" w:leader="dot" w:pos="9016"/>
        </w:tabs>
        <w:rPr>
          <w:rFonts w:eastAsiaTheme="minorEastAsia"/>
          <w:noProof/>
          <w:lang w:eastAsia="en-GB"/>
        </w:rPr>
      </w:pPr>
      <w:r>
        <w:rPr>
          <w:i/>
          <w:noProof/>
        </w:rPr>
        <w:t xml:space="preserve">Figure 2: Projected cumulative </w:t>
      </w:r>
      <w:r w:rsidRPr="00B2588F">
        <w:rPr>
          <w:iCs/>
          <w:noProof/>
        </w:rPr>
        <w:t>delivery</w:t>
      </w:r>
      <w:r w:rsidR="00B2588F">
        <w:rPr>
          <w:iCs/>
          <w:noProof/>
        </w:rPr>
        <w:t>……………………………………………………………………………………</w:t>
      </w:r>
      <w:r w:rsidR="00225345">
        <w:rPr>
          <w:iCs/>
          <w:noProof/>
        </w:rPr>
        <w:t>………..</w:t>
      </w:r>
      <w:r w:rsidR="00E00E3B">
        <w:rPr>
          <w:iCs/>
          <w:noProof/>
        </w:rPr>
        <w:t>6</w:t>
      </w:r>
      <w:r w:rsidR="00225345">
        <w:rPr>
          <w:iCs/>
          <w:noProof/>
        </w:rPr>
        <w:t xml:space="preserve">           </w:t>
      </w:r>
      <w:r w:rsidR="00B2588F">
        <w:rPr>
          <w:iCs/>
          <w:noProof/>
        </w:rPr>
        <w:t xml:space="preserve"> </w:t>
      </w:r>
      <w:r w:rsidR="00225345" w:rsidRPr="00225345">
        <w:rPr>
          <w:i/>
          <w:noProof/>
        </w:rPr>
        <w:t>Figure 3: Cumulative delivery of affordable housing</w:t>
      </w:r>
      <w:r w:rsidR="00225345">
        <w:rPr>
          <w:iCs/>
          <w:noProof/>
        </w:rPr>
        <w:t>…………………………………………………………………...</w:t>
      </w:r>
      <w:r w:rsidR="00E00E3B">
        <w:rPr>
          <w:iCs/>
          <w:noProof/>
        </w:rPr>
        <w:t>.......7</w:t>
      </w:r>
      <w:r w:rsidR="00225345">
        <w:rPr>
          <w:iCs/>
          <w:noProof/>
        </w:rPr>
        <w:t xml:space="preserve">        </w:t>
      </w:r>
      <w:r w:rsidR="007A4C2B" w:rsidRPr="00B2588F">
        <w:rPr>
          <w:iCs/>
          <w:noProof/>
        </w:rPr>
        <w:t>Figure</w:t>
      </w:r>
      <w:r w:rsidR="007A4C2B" w:rsidRPr="002257D7">
        <w:rPr>
          <w:i/>
          <w:noProof/>
        </w:rPr>
        <w:t xml:space="preserve"> </w:t>
      </w:r>
      <w:r w:rsidR="00DB160D">
        <w:rPr>
          <w:i/>
          <w:noProof/>
        </w:rPr>
        <w:t>4</w:t>
      </w:r>
      <w:r w:rsidR="007A4C2B" w:rsidRPr="002257D7">
        <w:rPr>
          <w:i/>
          <w:noProof/>
        </w:rPr>
        <w:t xml:space="preserve">: Housing </w:t>
      </w:r>
      <w:r w:rsidR="00137F6E">
        <w:rPr>
          <w:i/>
          <w:noProof/>
        </w:rPr>
        <w:t>m</w:t>
      </w:r>
      <w:r w:rsidR="007A4C2B" w:rsidRPr="002257D7">
        <w:rPr>
          <w:i/>
          <w:noProof/>
        </w:rPr>
        <w:t>ix</w:t>
      </w:r>
      <w:r w:rsidR="007A4C2B">
        <w:rPr>
          <w:noProof/>
        </w:rPr>
        <w:tab/>
      </w:r>
      <w:r w:rsidR="007A4C2B">
        <w:rPr>
          <w:noProof/>
        </w:rPr>
        <w:fldChar w:fldCharType="begin"/>
      </w:r>
      <w:r w:rsidR="007A4C2B">
        <w:rPr>
          <w:noProof/>
        </w:rPr>
        <w:instrText xml:space="preserve"> PAGEREF _Toc133397771 \h </w:instrText>
      </w:r>
      <w:r w:rsidR="007A4C2B">
        <w:rPr>
          <w:noProof/>
        </w:rPr>
      </w:r>
      <w:r w:rsidR="007A4C2B">
        <w:rPr>
          <w:noProof/>
        </w:rPr>
        <w:fldChar w:fldCharType="separate"/>
      </w:r>
      <w:r w:rsidR="00782072">
        <w:rPr>
          <w:noProof/>
        </w:rPr>
        <w:t>8</w:t>
      </w:r>
      <w:r w:rsidR="007A4C2B">
        <w:rPr>
          <w:noProof/>
        </w:rPr>
        <w:fldChar w:fldCharType="end"/>
      </w:r>
    </w:p>
    <w:p w14:paraId="740B6A16" w14:textId="4D06EAA2" w:rsidR="007A4C2B" w:rsidRDefault="007A4C2B">
      <w:pPr>
        <w:pStyle w:val="TableofFigures"/>
        <w:tabs>
          <w:tab w:val="right" w:leader="dot" w:pos="9016"/>
        </w:tabs>
        <w:rPr>
          <w:rFonts w:eastAsiaTheme="minorEastAsia"/>
          <w:noProof/>
          <w:lang w:eastAsia="en-GB"/>
        </w:rPr>
      </w:pPr>
      <w:r w:rsidRPr="002257D7">
        <w:rPr>
          <w:i/>
          <w:iCs/>
          <w:noProof/>
        </w:rPr>
        <w:t xml:space="preserve">Figure </w:t>
      </w:r>
      <w:r w:rsidR="00DB160D">
        <w:rPr>
          <w:i/>
          <w:iCs/>
          <w:noProof/>
        </w:rPr>
        <w:t>5</w:t>
      </w:r>
      <w:r w:rsidRPr="002257D7">
        <w:rPr>
          <w:i/>
          <w:iCs/>
          <w:noProof/>
        </w:rPr>
        <w:t xml:space="preserve">: Number of planning applications decided by district authorities, by type of development; England, quarter ending </w:t>
      </w:r>
      <w:r w:rsidR="00E00E3B">
        <w:rPr>
          <w:i/>
          <w:iCs/>
          <w:noProof/>
        </w:rPr>
        <w:t xml:space="preserve">March 2012 </w:t>
      </w:r>
      <w:r w:rsidRPr="002257D7">
        <w:rPr>
          <w:i/>
          <w:iCs/>
          <w:noProof/>
        </w:rPr>
        <w:t xml:space="preserve">to quarter ending </w:t>
      </w:r>
      <w:r w:rsidR="00E00E3B">
        <w:rPr>
          <w:i/>
          <w:iCs/>
          <w:noProof/>
        </w:rPr>
        <w:t>December 2022</w:t>
      </w:r>
      <w:r w:rsidRPr="002257D7">
        <w:rPr>
          <w:i/>
          <w:iCs/>
          <w:noProof/>
        </w:rPr>
        <w:t>; Source: MHCLG Planning Applications in England</w:t>
      </w:r>
      <w:r>
        <w:rPr>
          <w:noProof/>
        </w:rPr>
        <w:tab/>
      </w:r>
      <w:r>
        <w:rPr>
          <w:noProof/>
        </w:rPr>
        <w:fldChar w:fldCharType="begin"/>
      </w:r>
      <w:r>
        <w:rPr>
          <w:noProof/>
        </w:rPr>
        <w:instrText xml:space="preserve"> PAGEREF _Toc133397772 \h </w:instrText>
      </w:r>
      <w:r>
        <w:rPr>
          <w:noProof/>
        </w:rPr>
      </w:r>
      <w:r>
        <w:rPr>
          <w:noProof/>
        </w:rPr>
        <w:fldChar w:fldCharType="separate"/>
      </w:r>
      <w:r w:rsidR="00782072">
        <w:rPr>
          <w:noProof/>
        </w:rPr>
        <w:t>11</w:t>
      </w:r>
      <w:r>
        <w:rPr>
          <w:noProof/>
        </w:rPr>
        <w:fldChar w:fldCharType="end"/>
      </w:r>
    </w:p>
    <w:p w14:paraId="1C8341F9" w14:textId="74F1D276" w:rsidR="00992DC1" w:rsidRPr="00107B77" w:rsidRDefault="008469ED" w:rsidP="000B6D6A">
      <w:pPr>
        <w:pStyle w:val="NoSpacing"/>
        <w:rPr>
          <w:b/>
          <w:sz w:val="26"/>
          <w:szCs w:val="26"/>
          <w:highlight w:val="yellow"/>
        </w:rPr>
      </w:pPr>
      <w:r w:rsidRPr="00107B77">
        <w:rPr>
          <w:b/>
          <w:sz w:val="26"/>
          <w:szCs w:val="26"/>
          <w:highlight w:val="yellow"/>
        </w:rPr>
        <w:fldChar w:fldCharType="end"/>
      </w:r>
    </w:p>
    <w:p w14:paraId="7286B336" w14:textId="77777777" w:rsidR="008469ED" w:rsidRPr="00107B77" w:rsidRDefault="008469ED" w:rsidP="000B6D6A">
      <w:pPr>
        <w:pStyle w:val="NoSpacing"/>
        <w:rPr>
          <w:b/>
          <w:sz w:val="26"/>
          <w:szCs w:val="26"/>
          <w:highlight w:val="yellow"/>
        </w:rPr>
      </w:pPr>
    </w:p>
    <w:p w14:paraId="349622F1" w14:textId="77777777" w:rsidR="00992DC1" w:rsidRPr="00107B77" w:rsidRDefault="00992DC1" w:rsidP="000B6D6A">
      <w:pPr>
        <w:pStyle w:val="NoSpacing"/>
        <w:rPr>
          <w:b/>
          <w:sz w:val="26"/>
          <w:szCs w:val="26"/>
          <w:highlight w:val="yellow"/>
        </w:rPr>
      </w:pPr>
    </w:p>
    <w:p w14:paraId="7EC748FF" w14:textId="77777777" w:rsidR="00992DC1" w:rsidRPr="00107B77" w:rsidRDefault="00992DC1" w:rsidP="000B6D6A">
      <w:pPr>
        <w:pStyle w:val="NoSpacing"/>
        <w:rPr>
          <w:b/>
          <w:sz w:val="26"/>
          <w:szCs w:val="26"/>
          <w:highlight w:val="yellow"/>
        </w:rPr>
      </w:pPr>
    </w:p>
    <w:p w14:paraId="3E48497C" w14:textId="77777777" w:rsidR="00992DC1" w:rsidRPr="00107B77" w:rsidRDefault="00992DC1" w:rsidP="000B6D6A">
      <w:pPr>
        <w:pStyle w:val="NoSpacing"/>
        <w:rPr>
          <w:b/>
          <w:sz w:val="26"/>
          <w:szCs w:val="26"/>
          <w:highlight w:val="yellow"/>
        </w:rPr>
      </w:pPr>
    </w:p>
    <w:p w14:paraId="7637F4C8" w14:textId="77777777" w:rsidR="00992DC1" w:rsidRPr="00107B77" w:rsidRDefault="00992DC1" w:rsidP="000B6D6A">
      <w:pPr>
        <w:pStyle w:val="NoSpacing"/>
        <w:rPr>
          <w:b/>
          <w:sz w:val="26"/>
          <w:szCs w:val="26"/>
          <w:highlight w:val="yellow"/>
        </w:rPr>
      </w:pPr>
    </w:p>
    <w:p w14:paraId="5BB69B95" w14:textId="77777777" w:rsidR="00992DC1" w:rsidRPr="00107B77" w:rsidRDefault="00992DC1" w:rsidP="000B6D6A">
      <w:pPr>
        <w:pStyle w:val="NoSpacing"/>
        <w:rPr>
          <w:b/>
          <w:sz w:val="26"/>
          <w:szCs w:val="26"/>
          <w:highlight w:val="yellow"/>
        </w:rPr>
      </w:pPr>
    </w:p>
    <w:p w14:paraId="077B97F2" w14:textId="77777777" w:rsidR="00992DC1" w:rsidRPr="00107B77" w:rsidRDefault="00992DC1" w:rsidP="000B6D6A">
      <w:pPr>
        <w:pStyle w:val="NoSpacing"/>
        <w:rPr>
          <w:b/>
          <w:sz w:val="26"/>
          <w:szCs w:val="26"/>
          <w:highlight w:val="yellow"/>
        </w:rPr>
      </w:pPr>
    </w:p>
    <w:p w14:paraId="2B80D936" w14:textId="77777777" w:rsidR="00992DC1" w:rsidRPr="00107B77" w:rsidRDefault="00992DC1" w:rsidP="000B6D6A">
      <w:pPr>
        <w:pStyle w:val="NoSpacing"/>
        <w:rPr>
          <w:b/>
          <w:sz w:val="26"/>
          <w:szCs w:val="26"/>
          <w:highlight w:val="yellow"/>
        </w:rPr>
      </w:pPr>
    </w:p>
    <w:p w14:paraId="0919AC3C" w14:textId="77777777" w:rsidR="00992DC1" w:rsidRPr="00107B77" w:rsidRDefault="00992DC1" w:rsidP="000B6D6A">
      <w:pPr>
        <w:pStyle w:val="NoSpacing"/>
        <w:rPr>
          <w:b/>
          <w:sz w:val="26"/>
          <w:szCs w:val="26"/>
          <w:highlight w:val="yellow"/>
        </w:rPr>
      </w:pPr>
    </w:p>
    <w:p w14:paraId="38F13571" w14:textId="77777777" w:rsidR="00992DC1" w:rsidRPr="00107B77" w:rsidRDefault="00992DC1" w:rsidP="000B6D6A">
      <w:pPr>
        <w:pStyle w:val="NoSpacing"/>
        <w:rPr>
          <w:b/>
          <w:sz w:val="26"/>
          <w:szCs w:val="26"/>
          <w:highlight w:val="yellow"/>
        </w:rPr>
      </w:pPr>
    </w:p>
    <w:p w14:paraId="189BFA02" w14:textId="77777777" w:rsidR="00992DC1" w:rsidRPr="00107B77" w:rsidRDefault="00992DC1" w:rsidP="000B6D6A">
      <w:pPr>
        <w:pStyle w:val="NoSpacing"/>
        <w:rPr>
          <w:b/>
          <w:sz w:val="26"/>
          <w:szCs w:val="26"/>
          <w:highlight w:val="yellow"/>
        </w:rPr>
      </w:pPr>
    </w:p>
    <w:p w14:paraId="32D2DCEB" w14:textId="77777777" w:rsidR="00992DC1" w:rsidRPr="00107B77" w:rsidRDefault="00992DC1" w:rsidP="000B6D6A">
      <w:pPr>
        <w:pStyle w:val="NoSpacing"/>
        <w:rPr>
          <w:b/>
          <w:sz w:val="26"/>
          <w:szCs w:val="26"/>
          <w:highlight w:val="yellow"/>
        </w:rPr>
      </w:pPr>
    </w:p>
    <w:p w14:paraId="5E71F411" w14:textId="77777777" w:rsidR="00992DC1" w:rsidRPr="00107B77" w:rsidRDefault="00992DC1" w:rsidP="000B6D6A">
      <w:pPr>
        <w:pStyle w:val="NoSpacing"/>
        <w:rPr>
          <w:b/>
          <w:sz w:val="26"/>
          <w:szCs w:val="26"/>
          <w:highlight w:val="yellow"/>
        </w:rPr>
      </w:pPr>
    </w:p>
    <w:p w14:paraId="54AD2211" w14:textId="77777777" w:rsidR="00992DC1" w:rsidRPr="00107B77" w:rsidRDefault="00992DC1" w:rsidP="000B6D6A">
      <w:pPr>
        <w:pStyle w:val="NoSpacing"/>
        <w:rPr>
          <w:b/>
          <w:sz w:val="26"/>
          <w:szCs w:val="26"/>
          <w:highlight w:val="yellow"/>
        </w:rPr>
      </w:pPr>
    </w:p>
    <w:p w14:paraId="1100C39D" w14:textId="77777777" w:rsidR="00992DC1" w:rsidRPr="00107B77" w:rsidRDefault="00992DC1" w:rsidP="000B6D6A">
      <w:pPr>
        <w:pStyle w:val="NoSpacing"/>
        <w:rPr>
          <w:b/>
          <w:sz w:val="26"/>
          <w:szCs w:val="26"/>
          <w:highlight w:val="yellow"/>
        </w:rPr>
      </w:pPr>
    </w:p>
    <w:p w14:paraId="655D24EA" w14:textId="77777777" w:rsidR="00992DC1" w:rsidRPr="00107B77" w:rsidRDefault="00992DC1" w:rsidP="000B6D6A">
      <w:pPr>
        <w:pStyle w:val="NoSpacing"/>
        <w:rPr>
          <w:b/>
          <w:sz w:val="26"/>
          <w:szCs w:val="26"/>
          <w:highlight w:val="yellow"/>
        </w:rPr>
      </w:pPr>
    </w:p>
    <w:p w14:paraId="415E1EC4" w14:textId="77777777" w:rsidR="00992DC1" w:rsidRPr="00107B77" w:rsidRDefault="00992DC1" w:rsidP="000B6D6A">
      <w:pPr>
        <w:pStyle w:val="NoSpacing"/>
        <w:rPr>
          <w:b/>
          <w:sz w:val="26"/>
          <w:szCs w:val="26"/>
          <w:highlight w:val="yellow"/>
        </w:rPr>
      </w:pPr>
    </w:p>
    <w:p w14:paraId="52CF2569" w14:textId="77777777" w:rsidR="00992DC1" w:rsidRPr="00107B77" w:rsidRDefault="00992DC1" w:rsidP="000B6D6A">
      <w:pPr>
        <w:pStyle w:val="NoSpacing"/>
        <w:rPr>
          <w:b/>
          <w:sz w:val="26"/>
          <w:szCs w:val="26"/>
          <w:highlight w:val="yellow"/>
        </w:rPr>
      </w:pPr>
    </w:p>
    <w:p w14:paraId="6FDB0FAC" w14:textId="77777777" w:rsidR="00992DC1" w:rsidRPr="00107B77" w:rsidRDefault="00992DC1" w:rsidP="000B6D6A">
      <w:pPr>
        <w:pStyle w:val="NoSpacing"/>
        <w:rPr>
          <w:b/>
          <w:sz w:val="26"/>
          <w:szCs w:val="26"/>
          <w:highlight w:val="yellow"/>
        </w:rPr>
      </w:pPr>
    </w:p>
    <w:p w14:paraId="41F53438" w14:textId="77777777" w:rsidR="00992DC1" w:rsidRPr="00107B77" w:rsidRDefault="00992DC1" w:rsidP="000B6D6A">
      <w:pPr>
        <w:pStyle w:val="NoSpacing"/>
        <w:rPr>
          <w:b/>
          <w:sz w:val="26"/>
          <w:szCs w:val="26"/>
          <w:highlight w:val="yellow"/>
        </w:rPr>
      </w:pPr>
    </w:p>
    <w:p w14:paraId="2E050B71" w14:textId="2BAECD2E" w:rsidR="00992DC1" w:rsidRPr="00007D0C" w:rsidRDefault="00992DC1" w:rsidP="401D4F5D">
      <w:pPr>
        <w:pStyle w:val="NoSpacing"/>
        <w:rPr>
          <w:b/>
          <w:bCs/>
          <w:sz w:val="26"/>
          <w:szCs w:val="26"/>
          <w:highlight w:val="yellow"/>
        </w:rPr>
        <w:sectPr w:rsidR="00992DC1" w:rsidRPr="00007D0C" w:rsidSect="00315681">
          <w:headerReference w:type="default" r:id="rId9"/>
          <w:footerReference w:type="default" r:id="rId10"/>
          <w:footerReference w:type="first" r:id="rId11"/>
          <w:type w:val="continuous"/>
          <w:pgSz w:w="11906" w:h="16838"/>
          <w:pgMar w:top="1440" w:right="1440" w:bottom="1440" w:left="1440" w:header="708" w:footer="708" w:gutter="0"/>
          <w:pgNumType w:fmt="lowerRoman" w:start="1"/>
          <w:cols w:space="708"/>
          <w:docGrid w:linePitch="360"/>
        </w:sectPr>
      </w:pPr>
    </w:p>
    <w:p w14:paraId="0DBCC402" w14:textId="77777777" w:rsidR="00782072" w:rsidRDefault="00782072" w:rsidP="00315681">
      <w:pPr>
        <w:pStyle w:val="Heading1"/>
      </w:pPr>
    </w:p>
    <w:p w14:paraId="1294C51F" w14:textId="3DAF6B86" w:rsidR="000B6D6A" w:rsidRPr="00007D0C" w:rsidRDefault="6EAFD11A" w:rsidP="00315681">
      <w:pPr>
        <w:pStyle w:val="Heading1"/>
      </w:pPr>
      <w:bookmarkStart w:id="3" w:name="_Toc141166585"/>
      <w:r>
        <w:t>P</w:t>
      </w:r>
      <w:r w:rsidR="2D1B4498">
        <w:t xml:space="preserve">urpose, </w:t>
      </w:r>
      <w:r w:rsidR="405DC9C7">
        <w:t>s</w:t>
      </w:r>
      <w:r w:rsidR="2D1B4498">
        <w:t xml:space="preserve">cope and </w:t>
      </w:r>
      <w:r w:rsidR="405DC9C7">
        <w:t>c</w:t>
      </w:r>
      <w:r w:rsidR="2D1B4498">
        <w:t xml:space="preserve">ontent of the </w:t>
      </w:r>
      <w:r w:rsidR="405DC9C7">
        <w:t>report</w:t>
      </w:r>
      <w:bookmarkEnd w:id="3"/>
    </w:p>
    <w:p w14:paraId="705AEC48" w14:textId="77777777" w:rsidR="009742B7" w:rsidRPr="00007D0C" w:rsidRDefault="009742B7" w:rsidP="000B6D6A">
      <w:pPr>
        <w:pStyle w:val="NoSpacing"/>
        <w:rPr>
          <w:sz w:val="26"/>
          <w:szCs w:val="26"/>
        </w:rPr>
      </w:pPr>
    </w:p>
    <w:p w14:paraId="6B2784EF" w14:textId="77777777" w:rsidR="009742B7" w:rsidRPr="00007D0C" w:rsidRDefault="009742B7" w:rsidP="00783FEF">
      <w:pPr>
        <w:pStyle w:val="NoSpacing"/>
        <w:jc w:val="both"/>
        <w:rPr>
          <w:sz w:val="26"/>
          <w:szCs w:val="26"/>
        </w:rPr>
      </w:pPr>
      <w:r w:rsidRPr="00007D0C">
        <w:rPr>
          <w:sz w:val="26"/>
          <w:szCs w:val="26"/>
        </w:rPr>
        <w:t xml:space="preserve">Monitoring is an important part of the planning process as it allows </w:t>
      </w:r>
      <w:r w:rsidR="00DD49AD" w:rsidRPr="00007D0C">
        <w:rPr>
          <w:sz w:val="26"/>
          <w:szCs w:val="26"/>
        </w:rPr>
        <w:t>the planning authority to establish how effective policies are at achieving their objectives</w:t>
      </w:r>
      <w:r w:rsidRPr="00007D0C">
        <w:rPr>
          <w:sz w:val="26"/>
          <w:szCs w:val="26"/>
        </w:rPr>
        <w:t xml:space="preserve"> </w:t>
      </w:r>
      <w:r w:rsidR="00DD49AD" w:rsidRPr="00007D0C">
        <w:rPr>
          <w:sz w:val="26"/>
          <w:szCs w:val="26"/>
        </w:rPr>
        <w:t xml:space="preserve">and to determine whether changes need to be made </w:t>
      </w:r>
      <w:r w:rsidR="001E2982" w:rsidRPr="00007D0C">
        <w:rPr>
          <w:sz w:val="26"/>
          <w:szCs w:val="26"/>
        </w:rPr>
        <w:t xml:space="preserve">in order </w:t>
      </w:r>
      <w:r w:rsidR="00DD49AD" w:rsidRPr="00007D0C">
        <w:rPr>
          <w:sz w:val="26"/>
          <w:szCs w:val="26"/>
        </w:rPr>
        <w:t>to improve their effectiveness.</w:t>
      </w:r>
    </w:p>
    <w:p w14:paraId="6623AB8D" w14:textId="77777777" w:rsidR="008C19E0" w:rsidRPr="00007D0C" w:rsidRDefault="008C19E0" w:rsidP="00783FEF">
      <w:pPr>
        <w:pStyle w:val="NoSpacing"/>
        <w:jc w:val="both"/>
        <w:rPr>
          <w:sz w:val="26"/>
          <w:szCs w:val="26"/>
        </w:rPr>
      </w:pPr>
    </w:p>
    <w:p w14:paraId="01791B44" w14:textId="5AE7C691" w:rsidR="0091345F" w:rsidRPr="00007D0C" w:rsidRDefault="09B98AF9" w:rsidP="00783FEF">
      <w:pPr>
        <w:pStyle w:val="NoSpacing"/>
        <w:jc w:val="both"/>
        <w:rPr>
          <w:sz w:val="26"/>
          <w:szCs w:val="26"/>
        </w:rPr>
      </w:pPr>
      <w:r w:rsidRPr="401D4F5D">
        <w:rPr>
          <w:sz w:val="26"/>
          <w:szCs w:val="26"/>
        </w:rPr>
        <w:t>The Planning and Compulsory Purchase Act 2004</w:t>
      </w:r>
      <w:r w:rsidR="00CF7138">
        <w:rPr>
          <w:rStyle w:val="FootnoteReference"/>
          <w:sz w:val="26"/>
          <w:szCs w:val="26"/>
        </w:rPr>
        <w:footnoteReference w:id="3"/>
      </w:r>
      <w:r w:rsidRPr="401D4F5D">
        <w:rPr>
          <w:sz w:val="26"/>
          <w:szCs w:val="26"/>
        </w:rPr>
        <w:t xml:space="preserve"> (as amended) sets out the requirement for </w:t>
      </w:r>
      <w:r w:rsidR="3AF72296" w:rsidRPr="401D4F5D">
        <w:rPr>
          <w:sz w:val="26"/>
          <w:szCs w:val="26"/>
        </w:rPr>
        <w:t>local plan</w:t>
      </w:r>
      <w:r w:rsidRPr="401D4F5D">
        <w:rPr>
          <w:sz w:val="26"/>
          <w:szCs w:val="26"/>
        </w:rPr>
        <w:t>ning authorities to make available to the public</w:t>
      </w:r>
      <w:r w:rsidR="0B77C9B7" w:rsidRPr="401D4F5D">
        <w:rPr>
          <w:sz w:val="26"/>
          <w:szCs w:val="26"/>
        </w:rPr>
        <w:t xml:space="preserve"> a report (or reports) which provides information on the implementation of the </w:t>
      </w:r>
      <w:r w:rsidR="0B39B3C2" w:rsidRPr="401D4F5D">
        <w:rPr>
          <w:sz w:val="26"/>
          <w:szCs w:val="26"/>
        </w:rPr>
        <w:t>L</w:t>
      </w:r>
      <w:r w:rsidR="0B77C9B7" w:rsidRPr="401D4F5D">
        <w:rPr>
          <w:sz w:val="26"/>
          <w:szCs w:val="26"/>
        </w:rPr>
        <w:t xml:space="preserve">ocal </w:t>
      </w:r>
      <w:r w:rsidR="19A8533E" w:rsidRPr="401D4F5D">
        <w:rPr>
          <w:sz w:val="26"/>
          <w:szCs w:val="26"/>
        </w:rPr>
        <w:t>D</w:t>
      </w:r>
      <w:r w:rsidR="0B77C9B7" w:rsidRPr="401D4F5D">
        <w:rPr>
          <w:sz w:val="26"/>
          <w:szCs w:val="26"/>
        </w:rPr>
        <w:t xml:space="preserve">evelopment </w:t>
      </w:r>
      <w:r w:rsidR="3438D723" w:rsidRPr="401D4F5D">
        <w:rPr>
          <w:sz w:val="26"/>
          <w:szCs w:val="26"/>
        </w:rPr>
        <w:t>S</w:t>
      </w:r>
      <w:r w:rsidR="0B77C9B7" w:rsidRPr="401D4F5D">
        <w:rPr>
          <w:sz w:val="26"/>
          <w:szCs w:val="26"/>
        </w:rPr>
        <w:t>cheme and the extent to which policies set out in local development documents are being achieved.</w:t>
      </w:r>
    </w:p>
    <w:p w14:paraId="1E17A76B" w14:textId="77777777" w:rsidR="006C42BC" w:rsidRPr="00107B77" w:rsidRDefault="006C42BC" w:rsidP="00783FEF">
      <w:pPr>
        <w:pStyle w:val="NoSpacing"/>
        <w:jc w:val="both"/>
        <w:rPr>
          <w:sz w:val="26"/>
          <w:szCs w:val="26"/>
          <w:highlight w:val="yellow"/>
        </w:rPr>
      </w:pPr>
    </w:p>
    <w:p w14:paraId="0C7E71B1" w14:textId="2AFE8527" w:rsidR="00260655" w:rsidRPr="00BF5354" w:rsidRDefault="006C42BC" w:rsidP="00BF5354">
      <w:pPr>
        <w:pStyle w:val="NoSpacing"/>
        <w:jc w:val="both"/>
        <w:rPr>
          <w:sz w:val="26"/>
          <w:szCs w:val="26"/>
        </w:rPr>
      </w:pPr>
      <w:r w:rsidRPr="00BF5354">
        <w:rPr>
          <w:sz w:val="26"/>
          <w:szCs w:val="26"/>
        </w:rPr>
        <w:t xml:space="preserve">In line with these requirements, this report first provides an overview of the current development plan for Tamworth and the progress against the milestones set out in the adopted Local Development Scheme, and then goes on to consider how the </w:t>
      </w:r>
      <w:r w:rsidR="00EE72BF">
        <w:rPr>
          <w:sz w:val="26"/>
          <w:szCs w:val="26"/>
        </w:rPr>
        <w:t>p</w:t>
      </w:r>
      <w:r w:rsidRPr="00BF5354">
        <w:rPr>
          <w:sz w:val="26"/>
          <w:szCs w:val="26"/>
        </w:rPr>
        <w:t>lan is performing in relation</w:t>
      </w:r>
      <w:r w:rsidR="00BF5354">
        <w:rPr>
          <w:sz w:val="26"/>
          <w:szCs w:val="26"/>
        </w:rPr>
        <w:t xml:space="preserve"> to key targets and milestones.</w:t>
      </w:r>
      <w:r w:rsidR="004E5DC2">
        <w:rPr>
          <w:sz w:val="26"/>
          <w:szCs w:val="26"/>
        </w:rPr>
        <w:t xml:space="preserve"> </w:t>
      </w:r>
      <w:r w:rsidR="004E5DC2">
        <w:rPr>
          <w:rFonts w:ascii="Calibri" w:hAnsi="Calibri" w:cs="Calibri"/>
          <w:sz w:val="26"/>
          <w:szCs w:val="26"/>
        </w:rPr>
        <w:t>At the time of publication, the data herein is the most robust available, however, as it represents estimates at a given point in time it can be subject to change.</w:t>
      </w:r>
    </w:p>
    <w:p w14:paraId="69DC4CA8" w14:textId="77777777" w:rsidR="0091345F" w:rsidRPr="00107B77" w:rsidRDefault="0091345F" w:rsidP="000B6D6A">
      <w:pPr>
        <w:pStyle w:val="NoSpacing"/>
        <w:rPr>
          <w:sz w:val="26"/>
          <w:szCs w:val="26"/>
          <w:highlight w:val="yellow"/>
        </w:rPr>
      </w:pPr>
    </w:p>
    <w:p w14:paraId="4375B7D0" w14:textId="77777777" w:rsidR="000B6D6A" w:rsidRPr="00107B77" w:rsidRDefault="000B6D6A" w:rsidP="000B6D6A">
      <w:pPr>
        <w:pStyle w:val="NoSpacing"/>
        <w:rPr>
          <w:sz w:val="26"/>
          <w:szCs w:val="26"/>
          <w:highlight w:val="yellow"/>
        </w:rPr>
      </w:pPr>
    </w:p>
    <w:p w14:paraId="16198294" w14:textId="77777777" w:rsidR="00295CC8" w:rsidRPr="00107B77" w:rsidRDefault="00295CC8">
      <w:pPr>
        <w:rPr>
          <w:b/>
          <w:sz w:val="48"/>
          <w:szCs w:val="48"/>
          <w:highlight w:val="yellow"/>
        </w:rPr>
      </w:pPr>
      <w:r w:rsidRPr="00107B77">
        <w:rPr>
          <w:b/>
          <w:sz w:val="48"/>
          <w:szCs w:val="48"/>
          <w:highlight w:val="yellow"/>
        </w:rPr>
        <w:br w:type="page"/>
      </w:r>
    </w:p>
    <w:p w14:paraId="6BB31D56" w14:textId="77777777" w:rsidR="000B6D6A" w:rsidRPr="00F20EAD" w:rsidRDefault="261A4C50" w:rsidP="00315681">
      <w:pPr>
        <w:pStyle w:val="Heading1"/>
      </w:pPr>
      <w:bookmarkStart w:id="4" w:name="_Toc141166586"/>
      <w:r>
        <w:lastRenderedPageBreak/>
        <w:t>The development plan for Tamworth</w:t>
      </w:r>
      <w:bookmarkEnd w:id="4"/>
    </w:p>
    <w:p w14:paraId="51796793" w14:textId="77777777" w:rsidR="0091707A" w:rsidRPr="00F20EAD" w:rsidRDefault="0091707A" w:rsidP="00ED02AE">
      <w:pPr>
        <w:pStyle w:val="NoSpacing"/>
        <w:rPr>
          <w:sz w:val="26"/>
          <w:szCs w:val="26"/>
        </w:rPr>
      </w:pPr>
    </w:p>
    <w:p w14:paraId="39874BA5" w14:textId="77777777" w:rsidR="00ED02AE" w:rsidRPr="00F20EAD" w:rsidRDefault="00ED02AE" w:rsidP="00783FEF">
      <w:pPr>
        <w:pStyle w:val="NoSpacing"/>
        <w:jc w:val="both"/>
        <w:rPr>
          <w:sz w:val="26"/>
          <w:szCs w:val="26"/>
        </w:rPr>
      </w:pPr>
      <w:r w:rsidRPr="00F20EAD">
        <w:rPr>
          <w:sz w:val="26"/>
          <w:szCs w:val="26"/>
        </w:rPr>
        <w:t>The following documents currently form the development plan for Tamworth.</w:t>
      </w:r>
    </w:p>
    <w:p w14:paraId="166DB93C" w14:textId="77777777" w:rsidR="00ED02AE" w:rsidRPr="00F20EAD" w:rsidRDefault="00ED02AE" w:rsidP="00783FEF">
      <w:pPr>
        <w:pStyle w:val="NoSpacing"/>
        <w:jc w:val="both"/>
        <w:rPr>
          <w:sz w:val="26"/>
          <w:szCs w:val="26"/>
        </w:rPr>
      </w:pPr>
    </w:p>
    <w:p w14:paraId="0A67E06F" w14:textId="162C18AD" w:rsidR="00ED02AE" w:rsidRPr="00F20EAD" w:rsidRDefault="261A4C50" w:rsidP="00783FEF">
      <w:pPr>
        <w:pStyle w:val="Heading3"/>
        <w:jc w:val="both"/>
      </w:pPr>
      <w:bookmarkStart w:id="5" w:name="_Toc141166587"/>
      <w:r>
        <w:t xml:space="preserve">Tamworth </w:t>
      </w:r>
      <w:r w:rsidR="3AF72296">
        <w:t>local plan</w:t>
      </w:r>
      <w:r>
        <w:t xml:space="preserve"> 2006-2031</w:t>
      </w:r>
      <w:bookmarkEnd w:id="5"/>
    </w:p>
    <w:p w14:paraId="4E19A730" w14:textId="221147A4" w:rsidR="00ED02AE" w:rsidRPr="00F20EAD" w:rsidRDefault="261A4C50" w:rsidP="00783FEF">
      <w:pPr>
        <w:pStyle w:val="NoSpacing"/>
        <w:jc w:val="both"/>
        <w:rPr>
          <w:sz w:val="26"/>
          <w:szCs w:val="26"/>
        </w:rPr>
      </w:pPr>
      <w:r w:rsidRPr="401D4F5D">
        <w:rPr>
          <w:sz w:val="26"/>
          <w:szCs w:val="26"/>
        </w:rPr>
        <w:t xml:space="preserve">The Tamworth </w:t>
      </w:r>
      <w:r w:rsidR="008A7162">
        <w:rPr>
          <w:sz w:val="26"/>
          <w:szCs w:val="26"/>
        </w:rPr>
        <w:t>l</w:t>
      </w:r>
      <w:r w:rsidR="3AF72296" w:rsidRPr="401D4F5D">
        <w:rPr>
          <w:sz w:val="26"/>
          <w:szCs w:val="26"/>
        </w:rPr>
        <w:t>ocal plan</w:t>
      </w:r>
      <w:r w:rsidRPr="401D4F5D">
        <w:rPr>
          <w:sz w:val="26"/>
          <w:szCs w:val="26"/>
        </w:rPr>
        <w:t xml:space="preserve"> was adopted in February 2016 and, along with the proposals map, is the main document of Tamworth’s development plan. It sets out the vision and spatial planning strategy for Tamworth up to 2031 and allocates parts of the town for new homes and employment </w:t>
      </w:r>
      <w:r w:rsidR="3BC53CC6" w:rsidRPr="401D4F5D">
        <w:rPr>
          <w:sz w:val="26"/>
          <w:szCs w:val="26"/>
        </w:rPr>
        <w:t>development</w:t>
      </w:r>
      <w:r w:rsidRPr="401D4F5D">
        <w:rPr>
          <w:sz w:val="26"/>
          <w:szCs w:val="26"/>
        </w:rPr>
        <w:t xml:space="preserve"> required to meet local needs. It also sets out policies and guidance for new development in Tamworth including </w:t>
      </w:r>
      <w:r w:rsidR="3BC53CC6" w:rsidRPr="401D4F5D">
        <w:rPr>
          <w:sz w:val="26"/>
          <w:szCs w:val="26"/>
        </w:rPr>
        <w:t>ensuring</w:t>
      </w:r>
      <w:r w:rsidRPr="401D4F5D">
        <w:rPr>
          <w:sz w:val="26"/>
          <w:szCs w:val="26"/>
        </w:rPr>
        <w:t xml:space="preserve"> that appropriate supporting infrastructure is </w:t>
      </w:r>
      <w:r w:rsidR="001057BB" w:rsidRPr="401D4F5D">
        <w:rPr>
          <w:sz w:val="26"/>
          <w:szCs w:val="26"/>
        </w:rPr>
        <w:t>delivered,</w:t>
      </w:r>
      <w:r w:rsidRPr="401D4F5D">
        <w:rPr>
          <w:sz w:val="26"/>
          <w:szCs w:val="26"/>
        </w:rPr>
        <w:t xml:space="preserve"> and the area’s built and natural environment is protected and enhanced.</w:t>
      </w:r>
    </w:p>
    <w:p w14:paraId="492FC45D" w14:textId="77777777" w:rsidR="00ED02AE" w:rsidRPr="00F20EAD" w:rsidRDefault="00ED02AE" w:rsidP="00783FEF">
      <w:pPr>
        <w:pStyle w:val="NoSpacing"/>
        <w:jc w:val="both"/>
        <w:rPr>
          <w:sz w:val="26"/>
          <w:szCs w:val="26"/>
        </w:rPr>
      </w:pPr>
    </w:p>
    <w:p w14:paraId="488CFB27" w14:textId="0D9CFC62" w:rsidR="00ED02AE" w:rsidRPr="00F20EAD" w:rsidRDefault="261A4C50" w:rsidP="00783FEF">
      <w:pPr>
        <w:pStyle w:val="Heading3"/>
        <w:jc w:val="both"/>
      </w:pPr>
      <w:bookmarkStart w:id="6" w:name="_Toc141166588"/>
      <w:r>
        <w:t xml:space="preserve">Saved Policies of the Tamworth </w:t>
      </w:r>
      <w:r w:rsidR="3AF72296">
        <w:t>local plan</w:t>
      </w:r>
      <w:r>
        <w:t xml:space="preserve"> 2001-2011</w:t>
      </w:r>
      <w:bookmarkEnd w:id="6"/>
    </w:p>
    <w:p w14:paraId="638BD910" w14:textId="55C0A238" w:rsidR="00ED02AE" w:rsidRPr="00F20EAD" w:rsidRDefault="261A4C50" w:rsidP="00783FEF">
      <w:pPr>
        <w:pStyle w:val="NoSpacing"/>
        <w:jc w:val="both"/>
        <w:rPr>
          <w:sz w:val="26"/>
          <w:szCs w:val="26"/>
        </w:rPr>
      </w:pPr>
      <w:r w:rsidRPr="401D4F5D">
        <w:rPr>
          <w:sz w:val="26"/>
          <w:szCs w:val="26"/>
        </w:rPr>
        <w:t xml:space="preserve">The majority of the policies contained within the </w:t>
      </w:r>
      <w:r w:rsidR="00CE2A10">
        <w:rPr>
          <w:sz w:val="26"/>
          <w:szCs w:val="26"/>
        </w:rPr>
        <w:t>l</w:t>
      </w:r>
      <w:r w:rsidR="3AF72296" w:rsidRPr="401D4F5D">
        <w:rPr>
          <w:sz w:val="26"/>
          <w:szCs w:val="26"/>
        </w:rPr>
        <w:t>ocal plan</w:t>
      </w:r>
      <w:r w:rsidRPr="401D4F5D">
        <w:rPr>
          <w:sz w:val="26"/>
          <w:szCs w:val="26"/>
        </w:rPr>
        <w:t xml:space="preserve"> 2001-2011 have been superseded by policies within the adopted </w:t>
      </w:r>
      <w:r w:rsidR="3AF72296" w:rsidRPr="401D4F5D">
        <w:rPr>
          <w:sz w:val="26"/>
          <w:szCs w:val="26"/>
        </w:rPr>
        <w:t>local plan</w:t>
      </w:r>
      <w:r w:rsidRPr="401D4F5D">
        <w:rPr>
          <w:sz w:val="26"/>
          <w:szCs w:val="26"/>
        </w:rPr>
        <w:t xml:space="preserve"> 2006-2031 with the exception of policy EMP7 Working from Home which remains in effect.</w:t>
      </w:r>
    </w:p>
    <w:p w14:paraId="0713291C" w14:textId="77777777" w:rsidR="00ED02AE" w:rsidRPr="00F20EAD" w:rsidRDefault="00ED02AE" w:rsidP="00783FEF">
      <w:pPr>
        <w:pStyle w:val="NoSpacing"/>
        <w:jc w:val="both"/>
        <w:rPr>
          <w:sz w:val="26"/>
          <w:szCs w:val="26"/>
        </w:rPr>
      </w:pPr>
    </w:p>
    <w:p w14:paraId="051CD90A" w14:textId="77777777" w:rsidR="00ED02AE" w:rsidRPr="00F20EAD" w:rsidRDefault="261A4C50" w:rsidP="00783FEF">
      <w:pPr>
        <w:pStyle w:val="Heading3"/>
        <w:jc w:val="both"/>
      </w:pPr>
      <w:bookmarkStart w:id="7" w:name="_Toc141166589"/>
      <w:r>
        <w:t>Statement of Community Involvement (SCI)</w:t>
      </w:r>
      <w:bookmarkEnd w:id="7"/>
    </w:p>
    <w:p w14:paraId="3EBEFB25" w14:textId="75CDAADD" w:rsidR="00ED02AE" w:rsidRPr="00F20EAD" w:rsidRDefault="00ED02AE" w:rsidP="00783FEF">
      <w:pPr>
        <w:pStyle w:val="NoSpacing"/>
        <w:jc w:val="both"/>
        <w:rPr>
          <w:sz w:val="26"/>
          <w:szCs w:val="26"/>
        </w:rPr>
      </w:pPr>
      <w:r w:rsidRPr="00F20EAD">
        <w:rPr>
          <w:sz w:val="26"/>
          <w:szCs w:val="26"/>
        </w:rPr>
        <w:t xml:space="preserve">The SCI sets out standards and the approach to involving stakeholders and the community in the production of all Local </w:t>
      </w:r>
      <w:r w:rsidR="005B5000">
        <w:rPr>
          <w:sz w:val="26"/>
          <w:szCs w:val="26"/>
        </w:rPr>
        <w:t>d</w:t>
      </w:r>
      <w:r w:rsidRPr="00F20EAD">
        <w:rPr>
          <w:sz w:val="26"/>
          <w:szCs w:val="26"/>
        </w:rPr>
        <w:t xml:space="preserve">evelopment </w:t>
      </w:r>
      <w:r w:rsidR="000F7872">
        <w:rPr>
          <w:sz w:val="26"/>
          <w:szCs w:val="26"/>
        </w:rPr>
        <w:t>d</w:t>
      </w:r>
      <w:r w:rsidRPr="00F20EAD">
        <w:rPr>
          <w:sz w:val="26"/>
          <w:szCs w:val="26"/>
        </w:rPr>
        <w:t xml:space="preserve">ocuments and the assessment of planning applications through the development management process. It is the </w:t>
      </w:r>
      <w:r w:rsidR="000F7872">
        <w:rPr>
          <w:sz w:val="26"/>
          <w:szCs w:val="26"/>
        </w:rPr>
        <w:t>c</w:t>
      </w:r>
      <w:r w:rsidRPr="00F20EAD">
        <w:rPr>
          <w:sz w:val="26"/>
          <w:szCs w:val="26"/>
        </w:rPr>
        <w:t>ouncil’s service level agreement with the community and stakeholders.</w:t>
      </w:r>
    </w:p>
    <w:p w14:paraId="3FB5A238" w14:textId="77777777" w:rsidR="00ED02AE" w:rsidRPr="00107B77" w:rsidRDefault="00ED02AE" w:rsidP="00783FEF">
      <w:pPr>
        <w:pStyle w:val="NoSpacing"/>
        <w:jc w:val="both"/>
        <w:rPr>
          <w:sz w:val="26"/>
          <w:szCs w:val="26"/>
          <w:highlight w:val="yellow"/>
        </w:rPr>
      </w:pPr>
    </w:p>
    <w:p w14:paraId="361D07C6" w14:textId="77777777" w:rsidR="000B6D6A" w:rsidRPr="00C45987" w:rsidRDefault="2D1B4498" w:rsidP="00783FEF">
      <w:pPr>
        <w:pStyle w:val="Heading2"/>
        <w:jc w:val="both"/>
      </w:pPr>
      <w:bookmarkStart w:id="8" w:name="_Toc141166590"/>
      <w:r w:rsidRPr="00C45987">
        <w:t>Local Development Scheme</w:t>
      </w:r>
      <w:r w:rsidR="70F7CBE3" w:rsidRPr="00C45987">
        <w:t xml:space="preserve"> progress</w:t>
      </w:r>
      <w:bookmarkEnd w:id="8"/>
    </w:p>
    <w:p w14:paraId="12C01112" w14:textId="7F3ABBEA" w:rsidR="000B6D6A" w:rsidRPr="00C45987" w:rsidRDefault="000B6D6A" w:rsidP="00783FEF">
      <w:pPr>
        <w:pStyle w:val="NoSpacing"/>
        <w:jc w:val="both"/>
        <w:rPr>
          <w:sz w:val="26"/>
          <w:szCs w:val="26"/>
        </w:rPr>
      </w:pPr>
      <w:r w:rsidRPr="00C45987">
        <w:rPr>
          <w:sz w:val="26"/>
          <w:szCs w:val="26"/>
        </w:rPr>
        <w:t>The Council’s current Local Development Scheme (</w:t>
      </w:r>
      <w:r w:rsidR="00DF6128" w:rsidRPr="00C45987">
        <w:rPr>
          <w:sz w:val="26"/>
          <w:szCs w:val="26"/>
        </w:rPr>
        <w:t>20</w:t>
      </w:r>
      <w:r w:rsidR="001A4BB9" w:rsidRPr="00C45987">
        <w:rPr>
          <w:sz w:val="26"/>
          <w:szCs w:val="26"/>
        </w:rPr>
        <w:t>22</w:t>
      </w:r>
      <w:r w:rsidR="00DF6128" w:rsidRPr="00C45987">
        <w:rPr>
          <w:sz w:val="26"/>
          <w:szCs w:val="26"/>
        </w:rPr>
        <w:t>-20</w:t>
      </w:r>
      <w:r w:rsidR="009323A9" w:rsidRPr="00C45987">
        <w:rPr>
          <w:sz w:val="26"/>
          <w:szCs w:val="26"/>
        </w:rPr>
        <w:t>25</w:t>
      </w:r>
      <w:r w:rsidRPr="00C45987">
        <w:rPr>
          <w:sz w:val="26"/>
          <w:szCs w:val="26"/>
        </w:rPr>
        <w:t>) was adopted in 20</w:t>
      </w:r>
      <w:r w:rsidR="009323A9" w:rsidRPr="00C45987">
        <w:rPr>
          <w:sz w:val="26"/>
          <w:szCs w:val="26"/>
        </w:rPr>
        <w:t>22</w:t>
      </w:r>
      <w:r w:rsidRPr="00C45987">
        <w:rPr>
          <w:sz w:val="26"/>
          <w:szCs w:val="26"/>
        </w:rPr>
        <w:t xml:space="preserve"> and sets out the Council’s programme for the preparation of Local Development Documents (LDDs) over a three-year period.</w:t>
      </w:r>
      <w:r w:rsidR="00110D08" w:rsidRPr="00C45987">
        <w:rPr>
          <w:sz w:val="26"/>
          <w:szCs w:val="26"/>
        </w:rPr>
        <w:t xml:space="preserve"> One of the objectives of the monitoring report is to establish the progress being made towards delivery of the objectives set out within the LDS. The following </w:t>
      </w:r>
      <w:r w:rsidR="00020E76" w:rsidRPr="00C45987">
        <w:rPr>
          <w:sz w:val="26"/>
          <w:szCs w:val="26"/>
        </w:rPr>
        <w:t>workflows</w:t>
      </w:r>
      <w:r w:rsidR="00110D08" w:rsidRPr="00C45987">
        <w:rPr>
          <w:sz w:val="26"/>
          <w:szCs w:val="26"/>
        </w:rPr>
        <w:t xml:space="preserve"> have delivery objectives set out within the LDS for this monitoring year.</w:t>
      </w:r>
    </w:p>
    <w:p w14:paraId="6D5BA6B8" w14:textId="77777777" w:rsidR="00110D08" w:rsidRPr="00C45987" w:rsidRDefault="00110D08" w:rsidP="00783FEF">
      <w:pPr>
        <w:pStyle w:val="NoSpacing"/>
        <w:jc w:val="both"/>
        <w:rPr>
          <w:sz w:val="26"/>
          <w:szCs w:val="26"/>
        </w:rPr>
      </w:pPr>
    </w:p>
    <w:p w14:paraId="7017D01C" w14:textId="77777777" w:rsidR="002F00AD" w:rsidRPr="00C45987" w:rsidRDefault="002F00AD" w:rsidP="00783FEF">
      <w:pPr>
        <w:pStyle w:val="NoSpacing"/>
        <w:numPr>
          <w:ilvl w:val="0"/>
          <w:numId w:val="1"/>
        </w:numPr>
        <w:jc w:val="both"/>
        <w:rPr>
          <w:sz w:val="26"/>
          <w:szCs w:val="26"/>
        </w:rPr>
      </w:pPr>
      <w:r w:rsidRPr="00C45987">
        <w:rPr>
          <w:sz w:val="26"/>
          <w:szCs w:val="26"/>
        </w:rPr>
        <w:t>Statement of Community Involvement</w:t>
      </w:r>
    </w:p>
    <w:p w14:paraId="5C97B855" w14:textId="224496EC" w:rsidR="002F00AD" w:rsidRPr="00C45987" w:rsidRDefault="3AF72296" w:rsidP="00783FEF">
      <w:pPr>
        <w:pStyle w:val="NoSpacing"/>
        <w:numPr>
          <w:ilvl w:val="0"/>
          <w:numId w:val="1"/>
        </w:numPr>
        <w:jc w:val="both"/>
        <w:rPr>
          <w:sz w:val="26"/>
          <w:szCs w:val="26"/>
        </w:rPr>
      </w:pPr>
      <w:r w:rsidRPr="00C45987">
        <w:rPr>
          <w:sz w:val="26"/>
          <w:szCs w:val="26"/>
        </w:rPr>
        <w:t>Local plan</w:t>
      </w:r>
      <w:r w:rsidR="252CC192" w:rsidRPr="00C45987">
        <w:rPr>
          <w:sz w:val="26"/>
          <w:szCs w:val="26"/>
        </w:rPr>
        <w:t xml:space="preserve"> update</w:t>
      </w:r>
    </w:p>
    <w:p w14:paraId="43877FF4" w14:textId="77777777" w:rsidR="000B6D6A" w:rsidRPr="00C45987" w:rsidRDefault="00110D08" w:rsidP="00783FEF">
      <w:pPr>
        <w:pStyle w:val="NoSpacing"/>
        <w:numPr>
          <w:ilvl w:val="0"/>
          <w:numId w:val="1"/>
        </w:numPr>
        <w:jc w:val="both"/>
        <w:rPr>
          <w:sz w:val="26"/>
          <w:szCs w:val="26"/>
        </w:rPr>
      </w:pPr>
      <w:r w:rsidRPr="00C45987">
        <w:rPr>
          <w:sz w:val="26"/>
          <w:szCs w:val="26"/>
        </w:rPr>
        <w:t xml:space="preserve">Design </w:t>
      </w:r>
      <w:r w:rsidR="000B6D6A" w:rsidRPr="00C45987">
        <w:rPr>
          <w:sz w:val="26"/>
          <w:szCs w:val="26"/>
        </w:rPr>
        <w:t>Supplementary Planning Docume</w:t>
      </w:r>
      <w:r w:rsidRPr="00C45987">
        <w:rPr>
          <w:sz w:val="26"/>
          <w:szCs w:val="26"/>
        </w:rPr>
        <w:t>nt</w:t>
      </w:r>
    </w:p>
    <w:p w14:paraId="40447CC5" w14:textId="77777777" w:rsidR="000B6D6A" w:rsidRPr="00C45987" w:rsidRDefault="000B6D6A" w:rsidP="00783FEF">
      <w:pPr>
        <w:pStyle w:val="NoSpacing"/>
        <w:numPr>
          <w:ilvl w:val="0"/>
          <w:numId w:val="1"/>
        </w:numPr>
        <w:jc w:val="both"/>
        <w:rPr>
          <w:sz w:val="26"/>
          <w:szCs w:val="26"/>
        </w:rPr>
      </w:pPr>
      <w:r w:rsidRPr="00C45987">
        <w:rPr>
          <w:sz w:val="26"/>
          <w:szCs w:val="26"/>
        </w:rPr>
        <w:t xml:space="preserve">Planning Obligations </w:t>
      </w:r>
      <w:r w:rsidR="00110D08" w:rsidRPr="00C45987">
        <w:rPr>
          <w:sz w:val="26"/>
          <w:szCs w:val="26"/>
        </w:rPr>
        <w:t>Supplementary Planning Document</w:t>
      </w:r>
    </w:p>
    <w:p w14:paraId="1E737633" w14:textId="77777777" w:rsidR="000B6D6A" w:rsidRPr="00C45987" w:rsidRDefault="000B6D6A" w:rsidP="00783FEF">
      <w:pPr>
        <w:pStyle w:val="NoSpacing"/>
        <w:numPr>
          <w:ilvl w:val="0"/>
          <w:numId w:val="1"/>
        </w:numPr>
        <w:jc w:val="both"/>
        <w:rPr>
          <w:sz w:val="26"/>
          <w:szCs w:val="26"/>
        </w:rPr>
      </w:pPr>
      <w:r w:rsidRPr="00C45987">
        <w:rPr>
          <w:sz w:val="26"/>
          <w:szCs w:val="26"/>
        </w:rPr>
        <w:t>Community Infrastructure Levy</w:t>
      </w:r>
    </w:p>
    <w:p w14:paraId="4E8A33D4" w14:textId="77777777" w:rsidR="000B6D6A" w:rsidRPr="00107B77" w:rsidRDefault="000B6D6A" w:rsidP="00783FEF">
      <w:pPr>
        <w:pStyle w:val="NoSpacing"/>
        <w:jc w:val="both"/>
        <w:rPr>
          <w:sz w:val="26"/>
          <w:szCs w:val="26"/>
          <w:highlight w:val="yellow"/>
        </w:rPr>
      </w:pPr>
    </w:p>
    <w:p w14:paraId="26F339CA" w14:textId="77777777" w:rsidR="002F00AD" w:rsidRPr="006730B8" w:rsidRDefault="252CC192" w:rsidP="00783FEF">
      <w:pPr>
        <w:pStyle w:val="Heading3"/>
        <w:jc w:val="both"/>
      </w:pPr>
      <w:bookmarkStart w:id="9" w:name="_Toc141166591"/>
      <w:r w:rsidRPr="006730B8">
        <w:t>Statement of Community Involvement</w:t>
      </w:r>
      <w:r w:rsidR="785BD54A" w:rsidRPr="006730B8">
        <w:t xml:space="preserve"> (SCI)</w:t>
      </w:r>
      <w:bookmarkEnd w:id="9"/>
    </w:p>
    <w:p w14:paraId="5BFCB1D4" w14:textId="64ABB1E1" w:rsidR="00BA09B9" w:rsidRPr="00A85312" w:rsidRDefault="00BA09B9" w:rsidP="00BA09B9">
      <w:pPr>
        <w:pStyle w:val="NoSpacing"/>
        <w:jc w:val="both"/>
        <w:rPr>
          <w:sz w:val="26"/>
          <w:szCs w:val="26"/>
        </w:rPr>
      </w:pPr>
      <w:r w:rsidRPr="006730B8">
        <w:rPr>
          <w:sz w:val="26"/>
          <w:szCs w:val="26"/>
        </w:rPr>
        <w:t xml:space="preserve">The SCI </w:t>
      </w:r>
      <w:r w:rsidR="00087918" w:rsidRPr="006730B8">
        <w:rPr>
          <w:sz w:val="26"/>
          <w:szCs w:val="26"/>
        </w:rPr>
        <w:t xml:space="preserve">was updated in </w:t>
      </w:r>
      <w:r w:rsidR="00500094" w:rsidRPr="006730B8">
        <w:rPr>
          <w:sz w:val="26"/>
          <w:szCs w:val="26"/>
        </w:rPr>
        <w:t>September 2022</w:t>
      </w:r>
      <w:r w:rsidR="00087918" w:rsidRPr="006730B8">
        <w:rPr>
          <w:sz w:val="26"/>
          <w:szCs w:val="26"/>
        </w:rPr>
        <w:t xml:space="preserve"> with no further updates in this monitoring period.</w:t>
      </w:r>
    </w:p>
    <w:p w14:paraId="083EFBBE" w14:textId="77777777" w:rsidR="00BA09B9" w:rsidRPr="00BA09B9" w:rsidRDefault="00BA09B9" w:rsidP="00BA09B9">
      <w:pPr>
        <w:pStyle w:val="NoSpacing"/>
        <w:jc w:val="both"/>
        <w:rPr>
          <w:sz w:val="26"/>
          <w:szCs w:val="26"/>
          <w:highlight w:val="yellow"/>
        </w:rPr>
      </w:pPr>
    </w:p>
    <w:p w14:paraId="734C66CF" w14:textId="761A46F4" w:rsidR="00A85312" w:rsidRPr="0074373C" w:rsidRDefault="3AF72296" w:rsidP="248E00CB">
      <w:pPr>
        <w:pStyle w:val="Heading3"/>
        <w:jc w:val="both"/>
      </w:pPr>
      <w:bookmarkStart w:id="10" w:name="_Toc141166592"/>
      <w:r>
        <w:lastRenderedPageBreak/>
        <w:t>Local plan</w:t>
      </w:r>
      <w:r w:rsidR="4D82FB40">
        <w:t xml:space="preserve"> update</w:t>
      </w:r>
      <w:bookmarkEnd w:id="10"/>
    </w:p>
    <w:p w14:paraId="76A0AE12" w14:textId="37A456BB" w:rsidR="00BC65FB" w:rsidRPr="005E55FC" w:rsidDel="003D5D84" w:rsidRDefault="003D5D84" w:rsidP="248E00CB">
      <w:pPr>
        <w:spacing w:after="0" w:line="240" w:lineRule="auto"/>
        <w:jc w:val="both"/>
        <w:rPr>
          <w:sz w:val="26"/>
          <w:szCs w:val="26"/>
          <w:highlight w:val="yellow"/>
        </w:rPr>
      </w:pPr>
      <w:r w:rsidRPr="248E00CB">
        <w:rPr>
          <w:sz w:val="26"/>
          <w:szCs w:val="26"/>
        </w:rPr>
        <w:t>In 20</w:t>
      </w:r>
      <w:r w:rsidR="005677B7" w:rsidRPr="248E00CB">
        <w:rPr>
          <w:sz w:val="26"/>
          <w:szCs w:val="26"/>
        </w:rPr>
        <w:t>20</w:t>
      </w:r>
      <w:r w:rsidRPr="248E00CB">
        <w:rPr>
          <w:sz w:val="26"/>
          <w:szCs w:val="26"/>
        </w:rPr>
        <w:t xml:space="preserve"> the Council carried out a review</w:t>
      </w:r>
      <w:r w:rsidR="004A07AC">
        <w:rPr>
          <w:rStyle w:val="FootnoteReference"/>
          <w:sz w:val="26"/>
          <w:szCs w:val="26"/>
        </w:rPr>
        <w:footnoteReference w:id="4"/>
      </w:r>
      <w:r w:rsidR="004A07AC">
        <w:rPr>
          <w:sz w:val="26"/>
          <w:szCs w:val="26"/>
        </w:rPr>
        <w:t xml:space="preserve"> </w:t>
      </w:r>
      <w:r w:rsidRPr="248E00CB">
        <w:rPr>
          <w:sz w:val="26"/>
          <w:szCs w:val="26"/>
        </w:rPr>
        <w:t>of the adopted local plan to establish if the plan was still in compliance with national policy and how the policies were performing against targets in the monitoring framework. The review concluded that, taking into account the impact of changes to national policy along with the more minor amendments that would be beneficial to the plan, a number of changes were required to the existing plan. As any changes to the plan would require the collection of new evidence and an extension to the plan period, it was considered that work should commence on a new local plan for Tamworth. An updated LDS</w:t>
      </w:r>
      <w:r w:rsidR="00EE5C63">
        <w:rPr>
          <w:rStyle w:val="FootnoteReference"/>
          <w:sz w:val="26"/>
          <w:szCs w:val="26"/>
        </w:rPr>
        <w:footnoteReference w:id="5"/>
      </w:r>
      <w:r w:rsidRPr="248E00CB">
        <w:rPr>
          <w:sz w:val="26"/>
          <w:szCs w:val="26"/>
        </w:rPr>
        <w:t xml:space="preserve"> has been published covering the period 2022 – 2025 to reflect the proposed timetable for the development of a new local plan. The issues and options consultation </w:t>
      </w:r>
      <w:r w:rsidR="0EEA1489" w:rsidRPr="248E00CB">
        <w:rPr>
          <w:sz w:val="26"/>
          <w:szCs w:val="26"/>
        </w:rPr>
        <w:t>were</w:t>
      </w:r>
      <w:r w:rsidRPr="248E00CB">
        <w:rPr>
          <w:sz w:val="26"/>
          <w:szCs w:val="26"/>
        </w:rPr>
        <w:t xml:space="preserve"> launched in September 2022 in line with the timetable set out in the LDS.</w:t>
      </w:r>
    </w:p>
    <w:p w14:paraId="7EC1C76D" w14:textId="5118E246" w:rsidR="248E00CB" w:rsidRDefault="248E00CB" w:rsidP="248E00CB">
      <w:pPr>
        <w:spacing w:after="0" w:line="240" w:lineRule="auto"/>
        <w:jc w:val="both"/>
        <w:rPr>
          <w:sz w:val="26"/>
          <w:szCs w:val="26"/>
        </w:rPr>
      </w:pPr>
    </w:p>
    <w:p w14:paraId="1AAD3397" w14:textId="77777777" w:rsidR="008D4281" w:rsidRPr="004F6A69" w:rsidRDefault="6A979C37" w:rsidP="00783FEF">
      <w:pPr>
        <w:pStyle w:val="Heading3"/>
        <w:jc w:val="both"/>
      </w:pPr>
      <w:bookmarkStart w:id="11" w:name="_Toc141166593"/>
      <w:r w:rsidRPr="004F6A69">
        <w:t>Design Supplementary Planning Document</w:t>
      </w:r>
      <w:bookmarkEnd w:id="11"/>
    </w:p>
    <w:p w14:paraId="01A0F4D0" w14:textId="161771F1" w:rsidR="00A85312" w:rsidRPr="0067520E" w:rsidRDefault="00C40959" w:rsidP="00783FEF">
      <w:pPr>
        <w:pStyle w:val="NoSpacing"/>
        <w:jc w:val="both"/>
        <w:rPr>
          <w:sz w:val="26"/>
          <w:szCs w:val="26"/>
        </w:rPr>
      </w:pPr>
      <w:r w:rsidRPr="248E00CB">
        <w:rPr>
          <w:sz w:val="26"/>
          <w:szCs w:val="26"/>
        </w:rPr>
        <w:t>The Design S</w:t>
      </w:r>
      <w:r w:rsidR="00CB0FD2" w:rsidRPr="248E00CB">
        <w:rPr>
          <w:sz w:val="26"/>
          <w:szCs w:val="26"/>
        </w:rPr>
        <w:t>upplementary Planning Document (SPD)</w:t>
      </w:r>
      <w:r w:rsidR="00172F22" w:rsidRPr="248E00CB">
        <w:rPr>
          <w:sz w:val="26"/>
          <w:szCs w:val="26"/>
        </w:rPr>
        <w:t xml:space="preserve"> </w:t>
      </w:r>
      <w:r w:rsidRPr="248E00CB">
        <w:rPr>
          <w:sz w:val="26"/>
          <w:szCs w:val="26"/>
        </w:rPr>
        <w:t xml:space="preserve">was completed </w:t>
      </w:r>
      <w:r w:rsidR="004F6A69" w:rsidRPr="248E00CB">
        <w:rPr>
          <w:sz w:val="26"/>
          <w:szCs w:val="26"/>
        </w:rPr>
        <w:t xml:space="preserve">in the monitoring year 2018/19 and </w:t>
      </w:r>
      <w:r w:rsidRPr="248E00CB">
        <w:rPr>
          <w:sz w:val="26"/>
          <w:szCs w:val="26"/>
        </w:rPr>
        <w:t xml:space="preserve">adopted on </w:t>
      </w:r>
      <w:r w:rsidR="004F6A69" w:rsidRPr="248E00CB">
        <w:rPr>
          <w:sz w:val="26"/>
          <w:szCs w:val="26"/>
        </w:rPr>
        <w:t>the 25</w:t>
      </w:r>
      <w:r w:rsidR="004F6A69" w:rsidRPr="248E00CB">
        <w:rPr>
          <w:sz w:val="26"/>
          <w:szCs w:val="26"/>
          <w:vertAlign w:val="superscript"/>
        </w:rPr>
        <w:t xml:space="preserve">th </w:t>
      </w:r>
      <w:r w:rsidRPr="248E00CB">
        <w:rPr>
          <w:sz w:val="26"/>
          <w:szCs w:val="26"/>
        </w:rPr>
        <w:t>July 2019</w:t>
      </w:r>
      <w:r w:rsidR="000B1CB2" w:rsidRPr="248E00CB">
        <w:rPr>
          <w:sz w:val="26"/>
          <w:szCs w:val="26"/>
        </w:rPr>
        <w:t>.</w:t>
      </w:r>
      <w:r w:rsidR="7D3BB764" w:rsidRPr="248E00CB">
        <w:rPr>
          <w:sz w:val="26"/>
          <w:szCs w:val="26"/>
        </w:rPr>
        <w:t xml:space="preserve"> A review of the document is anticipated to be undertaken by 2025 in line with the timetable set out in the LDS. </w:t>
      </w:r>
    </w:p>
    <w:p w14:paraId="16DC7195" w14:textId="77777777" w:rsidR="00A85312" w:rsidRDefault="00A85312" w:rsidP="00783FEF">
      <w:pPr>
        <w:pStyle w:val="NoSpacing"/>
        <w:jc w:val="both"/>
        <w:rPr>
          <w:sz w:val="26"/>
          <w:szCs w:val="26"/>
          <w:highlight w:val="yellow"/>
        </w:rPr>
      </w:pPr>
    </w:p>
    <w:p w14:paraId="21FE2671" w14:textId="77777777" w:rsidR="00110D08" w:rsidRPr="00C03C74" w:rsidRDefault="3760D300" w:rsidP="00783FEF">
      <w:pPr>
        <w:pStyle w:val="Heading3"/>
        <w:jc w:val="both"/>
      </w:pPr>
      <w:bookmarkStart w:id="12" w:name="_Toc141166594"/>
      <w:r w:rsidRPr="00C03C74">
        <w:t>Planning Obligations Supplementary Planning Document</w:t>
      </w:r>
      <w:bookmarkEnd w:id="12"/>
    </w:p>
    <w:p w14:paraId="2E157CB4" w14:textId="77777777" w:rsidR="00284610" w:rsidRDefault="00284610" w:rsidP="00783FEF">
      <w:pPr>
        <w:pStyle w:val="NoSpacing"/>
        <w:jc w:val="both"/>
        <w:rPr>
          <w:sz w:val="26"/>
          <w:szCs w:val="26"/>
        </w:rPr>
      </w:pPr>
      <w:r w:rsidRPr="00C03C74">
        <w:rPr>
          <w:sz w:val="26"/>
          <w:szCs w:val="26"/>
        </w:rPr>
        <w:t>The Planning Obligations Supplementary Planning Document August 2018 was adopted on 01 August 2018. A revised National Planning Policy Framework (NPPF) was published on 24 July 2018, in between the Council’s resolution to adopt the SPD and its actual adoption date.</w:t>
      </w:r>
    </w:p>
    <w:p w14:paraId="095DD7B4" w14:textId="77777777" w:rsidR="00284610" w:rsidRDefault="00284610" w:rsidP="00783FEF">
      <w:pPr>
        <w:pStyle w:val="NoSpacing"/>
        <w:jc w:val="both"/>
        <w:rPr>
          <w:sz w:val="26"/>
          <w:szCs w:val="26"/>
        </w:rPr>
      </w:pPr>
    </w:p>
    <w:p w14:paraId="7028C91A" w14:textId="3DE127D2" w:rsidR="00284610" w:rsidRPr="006730B8" w:rsidRDefault="00284610" w:rsidP="00783FEF">
      <w:pPr>
        <w:pStyle w:val="NoSpacing"/>
        <w:jc w:val="both"/>
        <w:rPr>
          <w:sz w:val="26"/>
          <w:szCs w:val="26"/>
        </w:rPr>
      </w:pPr>
      <w:r w:rsidRPr="248E00CB">
        <w:rPr>
          <w:sz w:val="26"/>
          <w:szCs w:val="26"/>
        </w:rPr>
        <w:t>A commitment to update the document to reflect the relevant changes set out in the revised NPPF was included in the LDS. This included an update to the document and public consultation before adoption of the revised document in November 2018. The revised version of the document was adopted in November 2018 in line with the timetable set out in the LDS.</w:t>
      </w:r>
      <w:r w:rsidR="00575E50" w:rsidRPr="248E00CB">
        <w:rPr>
          <w:sz w:val="26"/>
          <w:szCs w:val="26"/>
        </w:rPr>
        <w:t xml:space="preserve"> A review of the document is anticipated to be undertaken by 2025 in line with the timetable set out in the LDS.</w:t>
      </w:r>
    </w:p>
    <w:p w14:paraId="67B7CF2F" w14:textId="77777777" w:rsidR="00284610" w:rsidRDefault="00284610" w:rsidP="00783FEF">
      <w:pPr>
        <w:pStyle w:val="NoSpacing"/>
        <w:jc w:val="both"/>
        <w:rPr>
          <w:sz w:val="26"/>
          <w:szCs w:val="26"/>
          <w:highlight w:val="yellow"/>
        </w:rPr>
      </w:pPr>
    </w:p>
    <w:p w14:paraId="67914D5D" w14:textId="77777777" w:rsidR="006C4C38" w:rsidRPr="00107B77" w:rsidRDefault="006C4C38" w:rsidP="00783FEF">
      <w:pPr>
        <w:pStyle w:val="NoSpacing"/>
        <w:jc w:val="both"/>
        <w:rPr>
          <w:sz w:val="26"/>
          <w:szCs w:val="26"/>
          <w:highlight w:val="yellow"/>
        </w:rPr>
      </w:pPr>
    </w:p>
    <w:p w14:paraId="4C51CDDD" w14:textId="77777777" w:rsidR="00110D08" w:rsidRPr="00107B77" w:rsidRDefault="00110D08" w:rsidP="000B6D6A">
      <w:pPr>
        <w:pStyle w:val="NoSpacing"/>
        <w:rPr>
          <w:sz w:val="26"/>
          <w:szCs w:val="26"/>
          <w:highlight w:val="yellow"/>
        </w:rPr>
      </w:pPr>
    </w:p>
    <w:p w14:paraId="79537265" w14:textId="77777777" w:rsidR="00E45146" w:rsidRPr="00107B77" w:rsidRDefault="00E45146" w:rsidP="000B6D6A">
      <w:pPr>
        <w:pStyle w:val="NoSpacing"/>
        <w:rPr>
          <w:b/>
          <w:sz w:val="26"/>
          <w:szCs w:val="26"/>
          <w:highlight w:val="yellow"/>
        </w:rPr>
      </w:pPr>
    </w:p>
    <w:p w14:paraId="1158881A" w14:textId="7635F4F3" w:rsidR="00295CC8" w:rsidRPr="00107B77" w:rsidRDefault="00295CC8">
      <w:pPr>
        <w:rPr>
          <w:b/>
          <w:sz w:val="48"/>
          <w:szCs w:val="48"/>
          <w:highlight w:val="yellow"/>
        </w:rPr>
      </w:pPr>
      <w:r w:rsidRPr="00107B77">
        <w:rPr>
          <w:b/>
          <w:sz w:val="48"/>
          <w:szCs w:val="48"/>
          <w:highlight w:val="yellow"/>
        </w:rPr>
        <w:br w:type="page"/>
      </w:r>
    </w:p>
    <w:p w14:paraId="0C6A0738" w14:textId="7635F4F3" w:rsidR="00AE3670" w:rsidRPr="002200B1" w:rsidRDefault="2D1B4498" w:rsidP="00315681">
      <w:pPr>
        <w:pStyle w:val="Heading1"/>
      </w:pPr>
      <w:bookmarkStart w:id="13" w:name="_Toc141166595"/>
      <w:r>
        <w:lastRenderedPageBreak/>
        <w:t>Housing</w:t>
      </w:r>
      <w:bookmarkEnd w:id="13"/>
    </w:p>
    <w:p w14:paraId="5AA3A48B" w14:textId="77777777" w:rsidR="00AE4F6F" w:rsidRPr="002200B1" w:rsidRDefault="00AE4F6F" w:rsidP="000B6D6A">
      <w:pPr>
        <w:pStyle w:val="NoSpacing"/>
        <w:rPr>
          <w:sz w:val="26"/>
          <w:szCs w:val="26"/>
        </w:rPr>
      </w:pPr>
    </w:p>
    <w:p w14:paraId="52EC40FC" w14:textId="6305B007" w:rsidR="003F34B6" w:rsidRPr="002200B1" w:rsidRDefault="50709F92" w:rsidP="00CC5DA0">
      <w:pPr>
        <w:pStyle w:val="Heading2"/>
      </w:pPr>
      <w:bookmarkStart w:id="14" w:name="_Toc141166596"/>
      <w:r>
        <w:t>Five-year</w:t>
      </w:r>
      <w:r w:rsidR="421F310C">
        <w:t xml:space="preserve"> supply</w:t>
      </w:r>
      <w:bookmarkEnd w:id="14"/>
    </w:p>
    <w:p w14:paraId="4C85F13E" w14:textId="78C22372" w:rsidR="00C360AE" w:rsidRPr="002200B1" w:rsidRDefault="0B808996" w:rsidP="00877570">
      <w:pPr>
        <w:pStyle w:val="NoSpacing"/>
        <w:jc w:val="both"/>
        <w:rPr>
          <w:sz w:val="26"/>
          <w:szCs w:val="26"/>
        </w:rPr>
      </w:pPr>
      <w:r w:rsidRPr="248E00CB">
        <w:rPr>
          <w:sz w:val="26"/>
          <w:szCs w:val="26"/>
        </w:rPr>
        <w:t xml:space="preserve">Paragraph </w:t>
      </w:r>
      <w:r w:rsidR="2CCE742B" w:rsidRPr="248E00CB">
        <w:rPr>
          <w:sz w:val="26"/>
          <w:szCs w:val="26"/>
        </w:rPr>
        <w:t>7</w:t>
      </w:r>
      <w:r w:rsidR="5CBCA8E8" w:rsidRPr="248E00CB">
        <w:rPr>
          <w:sz w:val="26"/>
          <w:szCs w:val="26"/>
        </w:rPr>
        <w:t>4</w:t>
      </w:r>
      <w:r w:rsidRPr="248E00CB">
        <w:rPr>
          <w:sz w:val="26"/>
          <w:szCs w:val="26"/>
        </w:rPr>
        <w:t xml:space="preserve"> of the </w:t>
      </w:r>
      <w:r w:rsidR="74A6837D" w:rsidRPr="248E00CB">
        <w:rPr>
          <w:sz w:val="26"/>
          <w:szCs w:val="26"/>
        </w:rPr>
        <w:t>NPPF</w:t>
      </w:r>
      <w:r w:rsidRPr="248E00CB">
        <w:rPr>
          <w:sz w:val="26"/>
          <w:szCs w:val="26"/>
        </w:rPr>
        <w:t xml:space="preserve"> states that </w:t>
      </w:r>
      <w:r w:rsidR="3AF72296" w:rsidRPr="248E00CB">
        <w:rPr>
          <w:sz w:val="26"/>
          <w:szCs w:val="26"/>
        </w:rPr>
        <w:t>local plan</w:t>
      </w:r>
      <w:r w:rsidRPr="248E00CB">
        <w:rPr>
          <w:sz w:val="26"/>
          <w:szCs w:val="26"/>
        </w:rPr>
        <w:t xml:space="preserve">ning authorities should </w:t>
      </w:r>
      <w:r w:rsidRPr="248E00CB">
        <w:rPr>
          <w:i/>
          <w:iCs/>
          <w:sz w:val="26"/>
          <w:szCs w:val="26"/>
        </w:rPr>
        <w:t>‘identify and update annually a supply of specific deliverable sites sufficient to provide</w:t>
      </w:r>
      <w:r w:rsidR="2CCE742B" w:rsidRPr="248E00CB">
        <w:rPr>
          <w:i/>
          <w:iCs/>
          <w:sz w:val="26"/>
          <w:szCs w:val="26"/>
        </w:rPr>
        <w:t xml:space="preserve"> a minimum of</w:t>
      </w:r>
      <w:r w:rsidRPr="248E00CB">
        <w:rPr>
          <w:i/>
          <w:iCs/>
          <w:sz w:val="26"/>
          <w:szCs w:val="26"/>
        </w:rPr>
        <w:t xml:space="preserve"> five years</w:t>
      </w:r>
      <w:r w:rsidR="2CCE742B" w:rsidRPr="248E00CB">
        <w:rPr>
          <w:i/>
          <w:iCs/>
          <w:sz w:val="26"/>
          <w:szCs w:val="26"/>
        </w:rPr>
        <w:t>’</w:t>
      </w:r>
      <w:r w:rsidRPr="248E00CB">
        <w:rPr>
          <w:i/>
          <w:iCs/>
          <w:sz w:val="26"/>
          <w:szCs w:val="26"/>
        </w:rPr>
        <w:t xml:space="preserve"> worth of housing against their housing requiremen</w:t>
      </w:r>
      <w:r w:rsidR="2CCE742B" w:rsidRPr="248E00CB">
        <w:rPr>
          <w:i/>
          <w:iCs/>
          <w:sz w:val="26"/>
          <w:szCs w:val="26"/>
        </w:rPr>
        <w:t>t set out in adopted strategic policies, or against their local housing need where the strategic policies are more than five years old</w:t>
      </w:r>
      <w:r w:rsidRPr="248E00CB">
        <w:rPr>
          <w:i/>
          <w:iCs/>
          <w:sz w:val="26"/>
          <w:szCs w:val="26"/>
        </w:rPr>
        <w:t>’</w:t>
      </w:r>
      <w:r w:rsidRPr="248E00CB">
        <w:rPr>
          <w:sz w:val="26"/>
          <w:szCs w:val="26"/>
        </w:rPr>
        <w:t xml:space="preserve"> (the </w:t>
      </w:r>
      <w:r w:rsidR="50709F92" w:rsidRPr="248E00CB">
        <w:rPr>
          <w:sz w:val="26"/>
          <w:szCs w:val="26"/>
        </w:rPr>
        <w:t>five-year</w:t>
      </w:r>
      <w:r w:rsidRPr="248E00CB">
        <w:rPr>
          <w:sz w:val="26"/>
          <w:szCs w:val="26"/>
        </w:rPr>
        <w:t xml:space="preserve"> supply).</w:t>
      </w:r>
    </w:p>
    <w:p w14:paraId="4984AE5D" w14:textId="77777777" w:rsidR="00C360AE" w:rsidRPr="00107B77" w:rsidRDefault="00C360AE" w:rsidP="00877570">
      <w:pPr>
        <w:pStyle w:val="NoSpacing"/>
        <w:jc w:val="both"/>
        <w:rPr>
          <w:sz w:val="26"/>
          <w:szCs w:val="26"/>
          <w:highlight w:val="yellow"/>
        </w:rPr>
      </w:pPr>
    </w:p>
    <w:p w14:paraId="022213A2" w14:textId="0F077DDD" w:rsidR="00C360AE" w:rsidRPr="005008ED" w:rsidRDefault="0B808996" w:rsidP="005008ED">
      <w:pPr>
        <w:pStyle w:val="NoSpacing"/>
        <w:jc w:val="both"/>
        <w:rPr>
          <w:sz w:val="26"/>
          <w:szCs w:val="26"/>
        </w:rPr>
      </w:pPr>
      <w:r w:rsidRPr="401D4F5D">
        <w:rPr>
          <w:sz w:val="26"/>
          <w:szCs w:val="26"/>
        </w:rPr>
        <w:t xml:space="preserve">The importance of the </w:t>
      </w:r>
      <w:r w:rsidR="50709F92" w:rsidRPr="401D4F5D">
        <w:rPr>
          <w:sz w:val="26"/>
          <w:szCs w:val="26"/>
        </w:rPr>
        <w:t>five-year</w:t>
      </w:r>
      <w:r w:rsidRPr="401D4F5D">
        <w:rPr>
          <w:sz w:val="26"/>
          <w:szCs w:val="26"/>
        </w:rPr>
        <w:t xml:space="preserve"> supply is underlined by paragraph </w:t>
      </w:r>
      <w:r w:rsidR="74CB7BB0" w:rsidRPr="401D4F5D">
        <w:rPr>
          <w:sz w:val="26"/>
          <w:szCs w:val="26"/>
        </w:rPr>
        <w:t xml:space="preserve">11 and footnote 7 of the NPPF which states that the presumption in favour of sustainable development applies where the relevant development plan policies are out of date, and this includes where the </w:t>
      </w:r>
      <w:r w:rsidR="3AF72296" w:rsidRPr="401D4F5D">
        <w:rPr>
          <w:sz w:val="26"/>
          <w:szCs w:val="26"/>
        </w:rPr>
        <w:t>local plan</w:t>
      </w:r>
      <w:r w:rsidR="74CB7BB0" w:rsidRPr="401D4F5D">
        <w:rPr>
          <w:sz w:val="26"/>
          <w:szCs w:val="26"/>
        </w:rPr>
        <w:t xml:space="preserve">ning authority cannot demonstrate a </w:t>
      </w:r>
      <w:r w:rsidR="50709F92" w:rsidRPr="401D4F5D">
        <w:rPr>
          <w:sz w:val="26"/>
          <w:szCs w:val="26"/>
        </w:rPr>
        <w:t>five-year</w:t>
      </w:r>
      <w:r w:rsidR="74CB7BB0" w:rsidRPr="401D4F5D">
        <w:rPr>
          <w:sz w:val="26"/>
          <w:szCs w:val="26"/>
        </w:rPr>
        <w:t xml:space="preserve"> supply of deliverable housing sites.</w:t>
      </w:r>
    </w:p>
    <w:p w14:paraId="7057EC44" w14:textId="77777777" w:rsidR="00C360AE" w:rsidRPr="00107B77" w:rsidRDefault="00C360AE" w:rsidP="00877570">
      <w:pPr>
        <w:pStyle w:val="NoSpacing"/>
        <w:jc w:val="both"/>
        <w:rPr>
          <w:sz w:val="26"/>
          <w:szCs w:val="26"/>
          <w:highlight w:val="yellow"/>
        </w:rPr>
      </w:pPr>
    </w:p>
    <w:p w14:paraId="780FD24E" w14:textId="3A2664E2" w:rsidR="003F34B6" w:rsidRPr="005008ED" w:rsidRDefault="003F34B6" w:rsidP="00877570">
      <w:pPr>
        <w:pStyle w:val="NoSpacing"/>
        <w:jc w:val="both"/>
        <w:rPr>
          <w:sz w:val="26"/>
          <w:szCs w:val="26"/>
        </w:rPr>
      </w:pPr>
      <w:r w:rsidRPr="0088399F">
        <w:rPr>
          <w:sz w:val="26"/>
          <w:szCs w:val="26"/>
        </w:rPr>
        <w:t>As of April 20</w:t>
      </w:r>
      <w:r w:rsidR="000B1CB2" w:rsidRPr="0088399F">
        <w:rPr>
          <w:sz w:val="26"/>
          <w:szCs w:val="26"/>
        </w:rPr>
        <w:t>2</w:t>
      </w:r>
      <w:r w:rsidR="001D6504" w:rsidRPr="0088399F">
        <w:rPr>
          <w:sz w:val="26"/>
          <w:szCs w:val="26"/>
        </w:rPr>
        <w:t>3</w:t>
      </w:r>
      <w:r w:rsidRPr="0088399F">
        <w:rPr>
          <w:sz w:val="26"/>
          <w:szCs w:val="26"/>
        </w:rPr>
        <w:t xml:space="preserve">, the supply of housing land in Tamworth amounts to </w:t>
      </w:r>
      <w:r w:rsidR="001D6504" w:rsidRPr="0088399F">
        <w:rPr>
          <w:sz w:val="26"/>
          <w:szCs w:val="26"/>
        </w:rPr>
        <w:t>10.5</w:t>
      </w:r>
      <w:r w:rsidRPr="0088399F">
        <w:rPr>
          <w:sz w:val="26"/>
          <w:szCs w:val="26"/>
        </w:rPr>
        <w:t xml:space="preserve"> years.</w:t>
      </w:r>
      <w:r w:rsidR="00C360AE" w:rsidRPr="0088399F">
        <w:rPr>
          <w:sz w:val="26"/>
          <w:szCs w:val="26"/>
        </w:rPr>
        <w:t xml:space="preserve"> Further information on how this figure is calculated can be found in the Tamworth Borough Council </w:t>
      </w:r>
      <w:r w:rsidR="001D6504" w:rsidRPr="0088399F">
        <w:rPr>
          <w:sz w:val="26"/>
          <w:szCs w:val="26"/>
        </w:rPr>
        <w:t>Five-year</w:t>
      </w:r>
      <w:r w:rsidR="00C360AE" w:rsidRPr="0088399F">
        <w:rPr>
          <w:sz w:val="26"/>
          <w:szCs w:val="26"/>
        </w:rPr>
        <w:t xml:space="preserve"> housing land supply 20</w:t>
      </w:r>
      <w:r w:rsidR="001D6504" w:rsidRPr="0088399F">
        <w:rPr>
          <w:sz w:val="26"/>
          <w:szCs w:val="26"/>
        </w:rPr>
        <w:t>22</w:t>
      </w:r>
      <w:r w:rsidR="00C360AE" w:rsidRPr="0088399F">
        <w:rPr>
          <w:sz w:val="26"/>
          <w:szCs w:val="26"/>
        </w:rPr>
        <w:t xml:space="preserve"> to 202</w:t>
      </w:r>
      <w:r w:rsidR="001D6504" w:rsidRPr="0088399F">
        <w:rPr>
          <w:sz w:val="26"/>
          <w:szCs w:val="26"/>
        </w:rPr>
        <w:t>7</w:t>
      </w:r>
      <w:r w:rsidR="00D030FB">
        <w:rPr>
          <w:rStyle w:val="FootnoteReference"/>
          <w:sz w:val="26"/>
          <w:szCs w:val="26"/>
        </w:rPr>
        <w:footnoteReference w:id="6"/>
      </w:r>
      <w:r w:rsidR="00C360AE" w:rsidRPr="0088399F">
        <w:rPr>
          <w:sz w:val="26"/>
          <w:szCs w:val="26"/>
        </w:rPr>
        <w:t xml:space="preserve"> document.</w:t>
      </w:r>
    </w:p>
    <w:p w14:paraId="1203F6F2" w14:textId="77777777" w:rsidR="003F34B6" w:rsidRPr="00107B77" w:rsidRDefault="003F34B6" w:rsidP="000B6D6A">
      <w:pPr>
        <w:pStyle w:val="NoSpacing"/>
        <w:rPr>
          <w:sz w:val="26"/>
          <w:szCs w:val="26"/>
          <w:highlight w:val="yellow"/>
        </w:rPr>
      </w:pPr>
    </w:p>
    <w:p w14:paraId="3D255816" w14:textId="77777777" w:rsidR="00AE4F6F" w:rsidRPr="005008ED" w:rsidRDefault="20BD8460" w:rsidP="00CC5DA0">
      <w:pPr>
        <w:pStyle w:val="Heading2"/>
      </w:pPr>
      <w:bookmarkStart w:id="15" w:name="_Toc141166597"/>
      <w:r>
        <w:t>Permissions granted</w:t>
      </w:r>
      <w:bookmarkEnd w:id="15"/>
    </w:p>
    <w:p w14:paraId="30206B22" w14:textId="23BC69B4" w:rsidR="00C35169" w:rsidRDefault="02712CA4" w:rsidP="00877570">
      <w:pPr>
        <w:pStyle w:val="NoSpacing"/>
        <w:jc w:val="both"/>
        <w:rPr>
          <w:sz w:val="26"/>
          <w:szCs w:val="26"/>
        </w:rPr>
      </w:pPr>
      <w:r w:rsidRPr="401D4F5D">
        <w:rPr>
          <w:sz w:val="26"/>
          <w:szCs w:val="26"/>
        </w:rPr>
        <w:t xml:space="preserve">The </w:t>
      </w:r>
      <w:r w:rsidR="3AF72296" w:rsidRPr="401D4F5D">
        <w:rPr>
          <w:sz w:val="26"/>
          <w:szCs w:val="26"/>
        </w:rPr>
        <w:t>local plan</w:t>
      </w:r>
      <w:r w:rsidR="6F9C0CC1" w:rsidRPr="401D4F5D">
        <w:rPr>
          <w:sz w:val="26"/>
          <w:szCs w:val="26"/>
        </w:rPr>
        <w:t xml:space="preserve"> sets a target delivery of 177 dwellings per year over the life of the </w:t>
      </w:r>
      <w:r w:rsidR="50709F92" w:rsidRPr="401D4F5D">
        <w:rPr>
          <w:sz w:val="26"/>
          <w:szCs w:val="26"/>
        </w:rPr>
        <w:t>p</w:t>
      </w:r>
      <w:r w:rsidR="6F9C0CC1" w:rsidRPr="401D4F5D">
        <w:rPr>
          <w:sz w:val="26"/>
          <w:szCs w:val="26"/>
        </w:rPr>
        <w:t xml:space="preserve">lan. In order to achieve this level of delivery, </w:t>
      </w:r>
      <w:r w:rsidR="50709F92" w:rsidRPr="401D4F5D">
        <w:rPr>
          <w:sz w:val="26"/>
          <w:szCs w:val="26"/>
        </w:rPr>
        <w:t xml:space="preserve">Tamworth Borough </w:t>
      </w:r>
      <w:r w:rsidR="6F9C0CC1" w:rsidRPr="401D4F5D">
        <w:rPr>
          <w:sz w:val="26"/>
          <w:szCs w:val="26"/>
        </w:rPr>
        <w:t>Council needs to be granting a sufficient level of appropriate planning permissions each year. For the year</w:t>
      </w:r>
      <w:r w:rsidR="1BE99E24" w:rsidRPr="401D4F5D">
        <w:rPr>
          <w:sz w:val="26"/>
          <w:szCs w:val="26"/>
        </w:rPr>
        <w:t xml:space="preserve"> 01 April 20</w:t>
      </w:r>
      <w:r w:rsidR="50709F92" w:rsidRPr="401D4F5D">
        <w:rPr>
          <w:sz w:val="26"/>
          <w:szCs w:val="26"/>
        </w:rPr>
        <w:t>22</w:t>
      </w:r>
      <w:r w:rsidR="1BE99E24" w:rsidRPr="401D4F5D">
        <w:rPr>
          <w:sz w:val="26"/>
          <w:szCs w:val="26"/>
        </w:rPr>
        <w:t xml:space="preserve"> to 31 March 20</w:t>
      </w:r>
      <w:r w:rsidR="556ECCA2" w:rsidRPr="401D4F5D">
        <w:rPr>
          <w:sz w:val="26"/>
          <w:szCs w:val="26"/>
        </w:rPr>
        <w:t>2</w:t>
      </w:r>
      <w:r w:rsidR="50709F92" w:rsidRPr="401D4F5D">
        <w:rPr>
          <w:sz w:val="26"/>
          <w:szCs w:val="26"/>
        </w:rPr>
        <w:t>3</w:t>
      </w:r>
      <w:r w:rsidR="1BE99E24" w:rsidRPr="401D4F5D">
        <w:rPr>
          <w:sz w:val="26"/>
          <w:szCs w:val="26"/>
        </w:rPr>
        <w:t xml:space="preserve">, permission was granted for a total of </w:t>
      </w:r>
      <w:r w:rsidR="00C91D2B">
        <w:rPr>
          <w:sz w:val="26"/>
          <w:szCs w:val="26"/>
        </w:rPr>
        <w:t>67</w:t>
      </w:r>
      <w:r w:rsidR="50709F92" w:rsidRPr="401D4F5D">
        <w:rPr>
          <w:sz w:val="26"/>
          <w:szCs w:val="26"/>
        </w:rPr>
        <w:t xml:space="preserve"> </w:t>
      </w:r>
      <w:r w:rsidR="1BE99E24" w:rsidRPr="401D4F5D">
        <w:rPr>
          <w:sz w:val="26"/>
          <w:szCs w:val="26"/>
        </w:rPr>
        <w:t>dwellings</w:t>
      </w:r>
      <w:r w:rsidR="6CE501D1" w:rsidRPr="401D4F5D">
        <w:rPr>
          <w:sz w:val="26"/>
          <w:szCs w:val="26"/>
        </w:rPr>
        <w:t xml:space="preserve"> (net)</w:t>
      </w:r>
      <w:r w:rsidR="1BE99E24" w:rsidRPr="401D4F5D">
        <w:rPr>
          <w:sz w:val="26"/>
          <w:szCs w:val="26"/>
        </w:rPr>
        <w:t>.</w:t>
      </w:r>
      <w:r w:rsidR="00525FC1">
        <w:rPr>
          <w:sz w:val="26"/>
          <w:szCs w:val="26"/>
        </w:rPr>
        <w:t xml:space="preserve"> </w:t>
      </w:r>
      <w:r w:rsidR="0097580F" w:rsidRPr="00624843">
        <w:rPr>
          <w:sz w:val="26"/>
          <w:szCs w:val="26"/>
        </w:rPr>
        <w:t>Permission was</w:t>
      </w:r>
      <w:r w:rsidR="00525FC1" w:rsidRPr="00624843">
        <w:rPr>
          <w:sz w:val="26"/>
          <w:szCs w:val="26"/>
        </w:rPr>
        <w:t xml:space="preserve"> granted for an outline permissio</w:t>
      </w:r>
      <w:r w:rsidR="003E3B0C" w:rsidRPr="00624843">
        <w:rPr>
          <w:sz w:val="26"/>
          <w:szCs w:val="26"/>
        </w:rPr>
        <w:t>n with all matters reserved</w:t>
      </w:r>
      <w:r w:rsidR="007C3259" w:rsidRPr="00624843">
        <w:rPr>
          <w:sz w:val="26"/>
          <w:szCs w:val="26"/>
        </w:rPr>
        <w:t xml:space="preserve"> and this permission has been included in these figures (*).</w:t>
      </w:r>
      <w:r w:rsidR="0094737A" w:rsidRPr="00624843">
        <w:rPr>
          <w:sz w:val="26"/>
          <w:szCs w:val="26"/>
        </w:rPr>
        <w:t xml:space="preserve"> </w:t>
      </w:r>
      <w:r w:rsidR="00B86D61" w:rsidRPr="00624843">
        <w:rPr>
          <w:sz w:val="26"/>
          <w:szCs w:val="26"/>
        </w:rPr>
        <w:t>Planning</w:t>
      </w:r>
      <w:r w:rsidR="00B86D61">
        <w:rPr>
          <w:sz w:val="26"/>
          <w:szCs w:val="26"/>
        </w:rPr>
        <w:t xml:space="preserve"> permissions granted in 2022/23 are lower </w:t>
      </w:r>
      <w:r w:rsidR="0094737A">
        <w:rPr>
          <w:sz w:val="26"/>
          <w:szCs w:val="26"/>
        </w:rPr>
        <w:t xml:space="preserve">than in previous years, however, evidence shown in Figure 1 identifies that there is no impact on the overall target delivery. </w:t>
      </w:r>
    </w:p>
    <w:p w14:paraId="5DF747C6" w14:textId="77777777" w:rsidR="005314E9" w:rsidRDefault="005314E9" w:rsidP="00877570">
      <w:pPr>
        <w:pStyle w:val="NoSpacing"/>
        <w:jc w:val="both"/>
        <w:rPr>
          <w:sz w:val="26"/>
          <w:szCs w:val="26"/>
        </w:rPr>
      </w:pPr>
    </w:p>
    <w:tbl>
      <w:tblPr>
        <w:tblW w:w="8205" w:type="dxa"/>
        <w:jc w:val="center"/>
        <w:tblCellMar>
          <w:top w:w="15" w:type="dxa"/>
          <w:bottom w:w="15" w:type="dxa"/>
        </w:tblCellMar>
        <w:tblLook w:val="04A0" w:firstRow="1" w:lastRow="0" w:firstColumn="1" w:lastColumn="0" w:noHBand="0" w:noVBand="1"/>
      </w:tblPr>
      <w:tblGrid>
        <w:gridCol w:w="1194"/>
        <w:gridCol w:w="4188"/>
        <w:gridCol w:w="1559"/>
        <w:gridCol w:w="1264"/>
      </w:tblGrid>
      <w:tr w:rsidR="00B4710F" w:rsidRPr="00722604" w14:paraId="2CB05F8E" w14:textId="77777777" w:rsidTr="00FA4217">
        <w:trPr>
          <w:trHeight w:val="570"/>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0CB90A7A" w14:textId="77777777" w:rsidR="00722604" w:rsidRPr="00722604" w:rsidRDefault="00722604" w:rsidP="00722604">
            <w:pPr>
              <w:spacing w:after="0" w:line="240" w:lineRule="auto"/>
              <w:jc w:val="center"/>
              <w:rPr>
                <w:rFonts w:ascii="Calibri" w:eastAsia="Times New Roman" w:hAnsi="Calibri" w:cs="Calibri"/>
                <w:color w:val="000000"/>
                <w:lang w:eastAsia="en-GB"/>
              </w:rPr>
            </w:pPr>
            <w:bookmarkStart w:id="16" w:name="_Toc13586547"/>
            <w:bookmarkStart w:id="17" w:name="_Toc133397743"/>
            <w:r w:rsidRPr="00722604">
              <w:rPr>
                <w:rFonts w:ascii="Calibri" w:eastAsia="Times New Roman" w:hAnsi="Calibri" w:cs="Calibri"/>
                <w:color w:val="000000"/>
                <w:lang w:eastAsia="en-GB"/>
              </w:rPr>
              <w:t>Reference</w:t>
            </w:r>
          </w:p>
        </w:tc>
        <w:tc>
          <w:tcPr>
            <w:tcW w:w="4188"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31D39781"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Location</w:t>
            </w:r>
          </w:p>
        </w:tc>
        <w:tc>
          <w:tcPr>
            <w:tcW w:w="1559"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1D67F7A6"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Type</w:t>
            </w:r>
          </w:p>
        </w:tc>
        <w:tc>
          <w:tcPr>
            <w:tcW w:w="1264" w:type="dxa"/>
            <w:tcBorders>
              <w:top w:val="single" w:sz="4" w:space="0" w:color="000000"/>
              <w:left w:val="single" w:sz="4" w:space="0" w:color="000000"/>
              <w:bottom w:val="single" w:sz="4" w:space="0" w:color="000000"/>
              <w:right w:val="single" w:sz="4" w:space="0" w:color="000000"/>
            </w:tcBorders>
            <w:shd w:val="clear" w:color="000000" w:fill="B4C6E7"/>
            <w:vAlign w:val="center"/>
            <w:hideMark/>
          </w:tcPr>
          <w:p w14:paraId="38944F3B"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Net change in dwellings</w:t>
            </w:r>
          </w:p>
        </w:tc>
      </w:tr>
      <w:tr w:rsidR="00B4710F" w:rsidRPr="00722604" w14:paraId="62B5BAB4" w14:textId="77777777" w:rsidTr="00FA4217">
        <w:trPr>
          <w:trHeight w:val="376"/>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54E8B41"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0001/2023</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140E6B9" w14:textId="28E29324"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23 &amp; 25 Dosthill </w:t>
            </w:r>
            <w:r w:rsidR="00694C33" w:rsidRPr="00722604">
              <w:rPr>
                <w:rFonts w:ascii="Calibri" w:eastAsia="Times New Roman" w:hAnsi="Calibri" w:cs="Calibri"/>
                <w:color w:val="000000"/>
                <w:lang w:eastAsia="en-GB"/>
              </w:rPr>
              <w:t>Road,</w:t>
            </w:r>
            <w:r w:rsidRPr="00722604">
              <w:rPr>
                <w:rFonts w:ascii="Calibri" w:eastAsia="Times New Roman" w:hAnsi="Calibri" w:cs="Calibri"/>
                <w:color w:val="000000"/>
                <w:lang w:eastAsia="en-GB"/>
              </w:rPr>
              <w:t xml:space="preserve"> Two Gates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1E02432"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Change of Use</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ED9559A"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-2</w:t>
            </w:r>
          </w:p>
        </w:tc>
      </w:tr>
      <w:tr w:rsidR="00B4710F" w:rsidRPr="00722604" w14:paraId="7C5E600C" w14:textId="77777777" w:rsidTr="00FA4217">
        <w:trPr>
          <w:trHeight w:val="382"/>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0C86959"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0379/2022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37E72FE" w14:textId="1B138606"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The Three Tuns, 15 Lichfield Street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50E5743"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23668C8"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3</w:t>
            </w:r>
          </w:p>
        </w:tc>
      </w:tr>
      <w:tr w:rsidR="00B4710F" w:rsidRPr="00722604" w14:paraId="1BF4E416" w14:textId="77777777" w:rsidTr="00FA4217">
        <w:trPr>
          <w:trHeight w:val="285"/>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B97B0AF"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0464/2022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56211F4" w14:textId="36DA5E9D"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13 Victoria </w:t>
            </w:r>
            <w:r w:rsidR="00694C33" w:rsidRPr="00722604">
              <w:rPr>
                <w:rFonts w:ascii="Calibri" w:eastAsia="Times New Roman" w:hAnsi="Calibri" w:cs="Calibri"/>
                <w:color w:val="000000"/>
                <w:lang w:eastAsia="en-GB"/>
              </w:rPr>
              <w:t>Road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577217"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Change of Use</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C0BBE4"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w:t>
            </w:r>
          </w:p>
        </w:tc>
      </w:tr>
      <w:tr w:rsidR="00B4710F" w:rsidRPr="00722604" w14:paraId="5836C1D9" w14:textId="77777777" w:rsidTr="00FA4217">
        <w:trPr>
          <w:trHeight w:val="336"/>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CDED3B2"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0466/2022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B6C13E1" w14:textId="3E1F9DD9"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15 &amp; 15A Tamworth Road, </w:t>
            </w:r>
            <w:proofErr w:type="spellStart"/>
            <w:r w:rsidR="00694C33" w:rsidRPr="00722604">
              <w:rPr>
                <w:rFonts w:ascii="Calibri" w:eastAsia="Times New Roman" w:hAnsi="Calibri" w:cs="Calibri"/>
                <w:color w:val="000000"/>
                <w:lang w:eastAsia="en-GB"/>
              </w:rPr>
              <w:t>Amington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C436BC3"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Change of Use</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18A0D8D"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w:t>
            </w:r>
          </w:p>
        </w:tc>
      </w:tr>
      <w:tr w:rsidR="00B4710F" w:rsidRPr="00722604" w14:paraId="373D55F9" w14:textId="77777777" w:rsidTr="00FA4217">
        <w:trPr>
          <w:trHeight w:val="384"/>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7B783C3"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0322/2022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646B930" w14:textId="45F3B10A"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26 Bridge Cottage, Bridge Street, </w:t>
            </w:r>
            <w:proofErr w:type="spellStart"/>
            <w:r w:rsidRPr="00722604">
              <w:rPr>
                <w:rFonts w:ascii="Calibri" w:eastAsia="Times New Roman" w:hAnsi="Calibri" w:cs="Calibri"/>
                <w:color w:val="000000"/>
                <w:lang w:eastAsia="en-GB"/>
              </w:rPr>
              <w:t>Amington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23B4F1D"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856DBDB"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w:t>
            </w:r>
          </w:p>
        </w:tc>
      </w:tr>
      <w:tr w:rsidR="00B4710F" w:rsidRPr="00722604" w14:paraId="28E5D23F" w14:textId="77777777" w:rsidTr="00FA4217">
        <w:trPr>
          <w:trHeight w:val="570"/>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717FD36"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0272/2021</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7E59CC97"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Land at Dosthill Road, Tamworth (Cottage Farm Road)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60AC41A"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611EE09"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37</w:t>
            </w:r>
          </w:p>
        </w:tc>
      </w:tr>
      <w:tr w:rsidR="00B4710F" w:rsidRPr="00722604" w14:paraId="327F8F90" w14:textId="77777777" w:rsidTr="00FA4217">
        <w:trPr>
          <w:trHeight w:val="570"/>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BF81D9" w14:textId="77777777" w:rsidR="00722604" w:rsidRPr="00722604" w:rsidRDefault="00722604" w:rsidP="006F6789">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0272/2022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515D5" w14:textId="7DC5E8B2" w:rsidR="00722604" w:rsidRPr="00722604" w:rsidRDefault="00694C33" w:rsidP="006F6789">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Northcote,</w:t>
            </w:r>
            <w:r w:rsidR="00722604" w:rsidRPr="00722604">
              <w:rPr>
                <w:rFonts w:ascii="Calibri" w:eastAsia="Times New Roman" w:hAnsi="Calibri" w:cs="Calibri"/>
                <w:color w:val="000000"/>
                <w:lang w:eastAsia="en-GB"/>
              </w:rPr>
              <w:t xml:space="preserve"> 103 </w:t>
            </w:r>
            <w:proofErr w:type="spellStart"/>
            <w:r w:rsidR="00722604" w:rsidRPr="00722604">
              <w:rPr>
                <w:rFonts w:ascii="Calibri" w:eastAsia="Times New Roman" w:hAnsi="Calibri" w:cs="Calibri"/>
                <w:color w:val="000000"/>
                <w:lang w:eastAsia="en-GB"/>
              </w:rPr>
              <w:t>Fazeley</w:t>
            </w:r>
            <w:proofErr w:type="spellEnd"/>
            <w:r w:rsidR="00722604" w:rsidRPr="00722604">
              <w:rPr>
                <w:rFonts w:ascii="Calibri" w:eastAsia="Times New Roman" w:hAnsi="Calibri" w:cs="Calibri"/>
                <w:color w:val="000000"/>
                <w:lang w:eastAsia="en-GB"/>
              </w:rPr>
              <w:t xml:space="preserve"> Road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836877" w14:textId="77777777" w:rsidR="00722604" w:rsidRPr="00722604" w:rsidRDefault="00722604" w:rsidP="006F6789">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4B8022" w14:textId="77777777" w:rsidR="00722604" w:rsidRPr="00722604" w:rsidRDefault="00722604" w:rsidP="00E56F52">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w:t>
            </w:r>
          </w:p>
        </w:tc>
      </w:tr>
      <w:tr w:rsidR="00B4710F" w:rsidRPr="00722604" w14:paraId="26B9F310" w14:textId="77777777" w:rsidTr="00FA4217">
        <w:trPr>
          <w:trHeight w:val="331"/>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2B360DA"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lastRenderedPageBreak/>
              <w:t>0231/2022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697675C" w14:textId="15E204E2"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76 Tamworth Road, </w:t>
            </w:r>
            <w:proofErr w:type="spellStart"/>
            <w:r w:rsidRPr="00722604">
              <w:rPr>
                <w:rFonts w:ascii="Calibri" w:eastAsia="Times New Roman" w:hAnsi="Calibri" w:cs="Calibri"/>
                <w:color w:val="000000"/>
                <w:lang w:eastAsia="en-GB"/>
              </w:rPr>
              <w:t>Amington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964F7EF"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188588D"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w:t>
            </w:r>
          </w:p>
        </w:tc>
      </w:tr>
      <w:tr w:rsidR="00B4710F" w:rsidRPr="00722604" w14:paraId="0AE1BAE5" w14:textId="77777777" w:rsidTr="00FA4217">
        <w:trPr>
          <w:trHeight w:val="285"/>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6AE7E7C"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0090/2022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F373470" w14:textId="35BD8DEF"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Land off </w:t>
            </w:r>
            <w:proofErr w:type="spellStart"/>
            <w:r w:rsidRPr="00722604">
              <w:rPr>
                <w:rFonts w:ascii="Calibri" w:eastAsia="Times New Roman" w:hAnsi="Calibri" w:cs="Calibri"/>
                <w:color w:val="000000"/>
                <w:lang w:eastAsia="en-GB"/>
              </w:rPr>
              <w:t>Bonehill</w:t>
            </w:r>
            <w:proofErr w:type="spellEnd"/>
            <w:r w:rsidRPr="00722604">
              <w:rPr>
                <w:rFonts w:ascii="Calibri" w:eastAsia="Times New Roman" w:hAnsi="Calibri" w:cs="Calibri"/>
                <w:color w:val="000000"/>
                <w:lang w:eastAsia="en-GB"/>
              </w:rPr>
              <w:t xml:space="preserve"> </w:t>
            </w:r>
            <w:r w:rsidR="00694C33" w:rsidRPr="00722604">
              <w:rPr>
                <w:rFonts w:ascii="Calibri" w:eastAsia="Times New Roman" w:hAnsi="Calibri" w:cs="Calibri"/>
                <w:color w:val="000000"/>
                <w:lang w:eastAsia="en-GB"/>
              </w:rPr>
              <w:t>Road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3E37AE9"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8EF2EC2"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9</w:t>
            </w:r>
          </w:p>
        </w:tc>
      </w:tr>
      <w:tr w:rsidR="00B4710F" w:rsidRPr="00722604" w14:paraId="512A268B" w14:textId="77777777" w:rsidTr="00FA4217">
        <w:trPr>
          <w:trHeight w:val="285"/>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CBA4C2"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0134/2022</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F7C577A" w14:textId="110A5BF3"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73 Wigginton Road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34DB95"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Change of Use</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6D8AB22"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w:t>
            </w:r>
          </w:p>
        </w:tc>
      </w:tr>
      <w:tr w:rsidR="00B4710F" w:rsidRPr="00722604" w14:paraId="201457B5" w14:textId="77777777" w:rsidTr="00FA4217">
        <w:trPr>
          <w:trHeight w:val="303"/>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915919D"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0550/2021</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B801C30" w14:textId="008A530C"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1 </w:t>
            </w:r>
            <w:proofErr w:type="spellStart"/>
            <w:r w:rsidRPr="00722604">
              <w:rPr>
                <w:rFonts w:ascii="Calibri" w:eastAsia="Times New Roman" w:hAnsi="Calibri" w:cs="Calibri"/>
                <w:color w:val="000000"/>
                <w:lang w:eastAsia="en-GB"/>
              </w:rPr>
              <w:t>Doriscroft</w:t>
            </w:r>
            <w:proofErr w:type="spellEnd"/>
            <w:r w:rsidRPr="00722604">
              <w:rPr>
                <w:rFonts w:ascii="Calibri" w:eastAsia="Times New Roman" w:hAnsi="Calibri" w:cs="Calibri"/>
                <w:color w:val="000000"/>
                <w:lang w:eastAsia="en-GB"/>
              </w:rPr>
              <w:t xml:space="preserve">, Dog Lane, </w:t>
            </w:r>
            <w:proofErr w:type="spellStart"/>
            <w:r w:rsidRPr="00722604">
              <w:rPr>
                <w:rFonts w:ascii="Calibri" w:eastAsia="Times New Roman" w:hAnsi="Calibri" w:cs="Calibri"/>
                <w:color w:val="000000"/>
                <w:lang w:eastAsia="en-GB"/>
              </w:rPr>
              <w:t>Amington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CC62358"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Full</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846D2DF"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2</w:t>
            </w:r>
          </w:p>
        </w:tc>
      </w:tr>
      <w:tr w:rsidR="00B4710F" w:rsidRPr="00722604" w14:paraId="7577F1AF" w14:textId="77777777" w:rsidTr="00FA4217">
        <w:trPr>
          <w:trHeight w:val="615"/>
          <w:jc w:val="center"/>
        </w:trPr>
        <w:tc>
          <w:tcPr>
            <w:tcW w:w="119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75720D" w14:textId="77777777" w:rsidR="00722604" w:rsidRPr="00722604" w:rsidRDefault="00722604" w:rsidP="00722604">
            <w:pPr>
              <w:spacing w:after="0" w:line="240" w:lineRule="auto"/>
              <w:jc w:val="center"/>
              <w:rPr>
                <w:rFonts w:ascii="Calibri" w:eastAsia="Times New Roman" w:hAnsi="Calibri" w:cs="Calibri"/>
                <w:color w:val="000000"/>
                <w:lang w:eastAsia="en-GB"/>
              </w:rPr>
            </w:pPr>
            <w:r w:rsidRPr="00722604">
              <w:rPr>
                <w:rFonts w:ascii="Calibri" w:eastAsia="Times New Roman" w:hAnsi="Calibri" w:cs="Calibri"/>
                <w:color w:val="000000"/>
                <w:lang w:eastAsia="en-GB"/>
              </w:rPr>
              <w:t>0324/2021</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7FA53882" w14:textId="0171E09E"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Land North of </w:t>
            </w:r>
            <w:proofErr w:type="spellStart"/>
            <w:r w:rsidRPr="00722604">
              <w:rPr>
                <w:rFonts w:ascii="Calibri" w:eastAsia="Times New Roman" w:hAnsi="Calibri" w:cs="Calibri"/>
                <w:color w:val="000000"/>
                <w:lang w:eastAsia="en-GB"/>
              </w:rPr>
              <w:t>Overwoods</w:t>
            </w:r>
            <w:proofErr w:type="spellEnd"/>
            <w:r w:rsidRPr="00722604">
              <w:rPr>
                <w:rFonts w:ascii="Calibri" w:eastAsia="Times New Roman" w:hAnsi="Calibri" w:cs="Calibri"/>
                <w:color w:val="000000"/>
                <w:lang w:eastAsia="en-GB"/>
              </w:rPr>
              <w:t xml:space="preserve"> Road, Hockley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075C0A0" w14:textId="77777777" w:rsidR="00722604" w:rsidRPr="00722604" w:rsidRDefault="00722604" w:rsidP="00722604">
            <w:pPr>
              <w:spacing w:after="0" w:line="240" w:lineRule="auto"/>
              <w:rPr>
                <w:rFonts w:ascii="Calibri" w:eastAsia="Times New Roman" w:hAnsi="Calibri" w:cs="Calibri"/>
                <w:color w:val="000000"/>
                <w:lang w:eastAsia="en-GB"/>
              </w:rPr>
            </w:pPr>
            <w:r w:rsidRPr="00722604">
              <w:rPr>
                <w:rFonts w:ascii="Calibri" w:eastAsia="Times New Roman" w:hAnsi="Calibri" w:cs="Calibri"/>
                <w:color w:val="000000"/>
                <w:lang w:eastAsia="en-GB"/>
              </w:rPr>
              <w:t xml:space="preserve">Outline </w:t>
            </w:r>
            <w:r w:rsidRPr="00624843">
              <w:rPr>
                <w:rFonts w:ascii="Calibri" w:eastAsia="Times New Roman" w:hAnsi="Calibri" w:cs="Calibri"/>
                <w:color w:val="000000"/>
                <w:lang w:eastAsia="en-GB"/>
              </w:rPr>
              <w:t>application (*)</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06B7518"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14</w:t>
            </w:r>
          </w:p>
        </w:tc>
      </w:tr>
      <w:tr w:rsidR="00722604" w:rsidRPr="00722604" w14:paraId="79344397" w14:textId="77777777" w:rsidTr="00FA4217">
        <w:trPr>
          <w:trHeight w:val="285"/>
          <w:jc w:val="center"/>
        </w:trPr>
        <w:tc>
          <w:tcPr>
            <w:tcW w:w="1194" w:type="dxa"/>
            <w:tcBorders>
              <w:top w:val="nil"/>
              <w:left w:val="nil"/>
              <w:bottom w:val="nil"/>
              <w:right w:val="nil"/>
            </w:tcBorders>
            <w:shd w:val="clear" w:color="000000" w:fill="FFFFFF"/>
            <w:noWrap/>
            <w:vAlign w:val="bottom"/>
            <w:hideMark/>
          </w:tcPr>
          <w:p w14:paraId="157FB552" w14:textId="77777777" w:rsidR="00722604" w:rsidRPr="00722604" w:rsidRDefault="00722604" w:rsidP="00722604">
            <w:pPr>
              <w:spacing w:after="0" w:line="240" w:lineRule="auto"/>
              <w:jc w:val="right"/>
              <w:rPr>
                <w:rFonts w:ascii="Calibri" w:eastAsia="Times New Roman" w:hAnsi="Calibri" w:cs="Calibri"/>
                <w:color w:val="000000"/>
                <w:lang w:eastAsia="en-GB"/>
              </w:rPr>
            </w:pPr>
          </w:p>
        </w:tc>
        <w:tc>
          <w:tcPr>
            <w:tcW w:w="4188" w:type="dxa"/>
            <w:tcBorders>
              <w:top w:val="nil"/>
              <w:left w:val="nil"/>
              <w:bottom w:val="nil"/>
              <w:right w:val="nil"/>
            </w:tcBorders>
            <w:shd w:val="clear" w:color="000000" w:fill="FFFFFF"/>
            <w:noWrap/>
            <w:vAlign w:val="bottom"/>
            <w:hideMark/>
          </w:tcPr>
          <w:p w14:paraId="5F5BD03F" w14:textId="77777777" w:rsidR="00722604" w:rsidRPr="00722604" w:rsidRDefault="00722604" w:rsidP="00722604">
            <w:pPr>
              <w:spacing w:after="0" w:line="240" w:lineRule="auto"/>
              <w:rPr>
                <w:rFonts w:ascii="Times New Roman" w:eastAsia="Times New Roman" w:hAnsi="Times New Roman" w:cs="Times New Roman"/>
                <w:sz w:val="20"/>
                <w:szCs w:val="20"/>
                <w:lang w:eastAsia="en-GB"/>
              </w:rPr>
            </w:pPr>
          </w:p>
        </w:tc>
        <w:tc>
          <w:tcPr>
            <w:tcW w:w="1559" w:type="dxa"/>
            <w:tcBorders>
              <w:top w:val="nil"/>
              <w:left w:val="nil"/>
              <w:bottom w:val="nil"/>
              <w:right w:val="nil"/>
            </w:tcBorders>
            <w:shd w:val="clear" w:color="000000" w:fill="FFFFFF"/>
            <w:noWrap/>
            <w:vAlign w:val="bottom"/>
            <w:hideMark/>
          </w:tcPr>
          <w:p w14:paraId="6050E956" w14:textId="77777777" w:rsidR="00722604" w:rsidRPr="00722604" w:rsidRDefault="00722604" w:rsidP="00722604">
            <w:pPr>
              <w:spacing w:after="0" w:line="240" w:lineRule="auto"/>
              <w:rPr>
                <w:rFonts w:ascii="Times New Roman" w:eastAsia="Times New Roman" w:hAnsi="Times New Roman" w:cs="Times New Roman"/>
                <w:sz w:val="20"/>
                <w:szCs w:val="20"/>
                <w:lang w:eastAsia="en-GB"/>
              </w:rPr>
            </w:pPr>
          </w:p>
        </w:tc>
        <w:tc>
          <w:tcPr>
            <w:tcW w:w="1264" w:type="dxa"/>
            <w:tcBorders>
              <w:top w:val="nil"/>
              <w:left w:val="single" w:sz="4" w:space="0" w:color="auto"/>
              <w:bottom w:val="single" w:sz="4" w:space="0" w:color="auto"/>
              <w:right w:val="single" w:sz="4" w:space="0" w:color="auto"/>
            </w:tcBorders>
            <w:shd w:val="clear" w:color="000000" w:fill="FFFFFF"/>
            <w:noWrap/>
            <w:vAlign w:val="bottom"/>
            <w:hideMark/>
          </w:tcPr>
          <w:p w14:paraId="1B146A07" w14:textId="77777777" w:rsidR="00722604" w:rsidRPr="00722604" w:rsidRDefault="00722604" w:rsidP="00722604">
            <w:pPr>
              <w:spacing w:after="0" w:line="240" w:lineRule="auto"/>
              <w:jc w:val="right"/>
              <w:rPr>
                <w:rFonts w:ascii="Calibri" w:eastAsia="Times New Roman" w:hAnsi="Calibri" w:cs="Calibri"/>
                <w:color w:val="000000"/>
                <w:lang w:eastAsia="en-GB"/>
              </w:rPr>
            </w:pPr>
            <w:r w:rsidRPr="00722604">
              <w:rPr>
                <w:rFonts w:ascii="Calibri" w:eastAsia="Times New Roman" w:hAnsi="Calibri" w:cs="Calibri"/>
                <w:color w:val="000000"/>
                <w:lang w:eastAsia="en-GB"/>
              </w:rPr>
              <w:t>67</w:t>
            </w:r>
          </w:p>
        </w:tc>
      </w:tr>
    </w:tbl>
    <w:p w14:paraId="6D385B49" w14:textId="7342CBAB" w:rsidR="00430CF4" w:rsidRPr="00ED2A9F" w:rsidRDefault="00FA4217" w:rsidP="00FA4217">
      <w:pPr>
        <w:pStyle w:val="Caption"/>
        <w:rPr>
          <w:b w:val="0"/>
          <w:i/>
          <w:color w:val="auto"/>
          <w:sz w:val="20"/>
          <w:szCs w:val="20"/>
        </w:rPr>
      </w:pPr>
      <w:r>
        <w:rPr>
          <w:b w:val="0"/>
          <w:i/>
          <w:color w:val="auto"/>
          <w:sz w:val="20"/>
          <w:szCs w:val="20"/>
        </w:rPr>
        <w:t xml:space="preserve">        </w:t>
      </w:r>
      <w:r w:rsidR="00B7532A" w:rsidRPr="00ED2A9F">
        <w:rPr>
          <w:b w:val="0"/>
          <w:i/>
          <w:color w:val="auto"/>
          <w:sz w:val="20"/>
          <w:szCs w:val="20"/>
        </w:rPr>
        <w:t xml:space="preserve">Table </w:t>
      </w:r>
      <w:r w:rsidR="000C0FD0" w:rsidRPr="00ED2A9F">
        <w:rPr>
          <w:b w:val="0"/>
          <w:i/>
          <w:color w:val="auto"/>
          <w:sz w:val="20"/>
          <w:szCs w:val="20"/>
        </w:rPr>
        <w:fldChar w:fldCharType="begin"/>
      </w:r>
      <w:r w:rsidR="000C0FD0" w:rsidRPr="00ED2A9F">
        <w:rPr>
          <w:b w:val="0"/>
          <w:i/>
          <w:color w:val="auto"/>
          <w:sz w:val="20"/>
          <w:szCs w:val="20"/>
        </w:rPr>
        <w:instrText xml:space="preserve"> SEQ Table \* ARABIC </w:instrText>
      </w:r>
      <w:r w:rsidR="000C0FD0" w:rsidRPr="00ED2A9F">
        <w:rPr>
          <w:b w:val="0"/>
          <w:i/>
          <w:color w:val="auto"/>
          <w:sz w:val="20"/>
          <w:szCs w:val="20"/>
        </w:rPr>
        <w:fldChar w:fldCharType="separate"/>
      </w:r>
      <w:r w:rsidR="00782072" w:rsidRPr="00ED2A9F">
        <w:rPr>
          <w:b w:val="0"/>
          <w:i/>
          <w:noProof/>
          <w:color w:val="auto"/>
          <w:sz w:val="20"/>
          <w:szCs w:val="20"/>
        </w:rPr>
        <w:t>1</w:t>
      </w:r>
      <w:r w:rsidR="000C0FD0" w:rsidRPr="00ED2A9F">
        <w:rPr>
          <w:b w:val="0"/>
          <w:i/>
          <w:color w:val="auto"/>
          <w:sz w:val="20"/>
          <w:szCs w:val="20"/>
        </w:rPr>
        <w:fldChar w:fldCharType="end"/>
      </w:r>
      <w:r w:rsidR="00B7532A" w:rsidRPr="00ED2A9F">
        <w:rPr>
          <w:b w:val="0"/>
          <w:i/>
          <w:color w:val="auto"/>
          <w:sz w:val="20"/>
          <w:szCs w:val="20"/>
        </w:rPr>
        <w:t xml:space="preserve"> Permission</w:t>
      </w:r>
      <w:r w:rsidR="008F68D9" w:rsidRPr="00ED2A9F">
        <w:rPr>
          <w:b w:val="0"/>
          <w:i/>
          <w:color w:val="auto"/>
          <w:sz w:val="20"/>
          <w:szCs w:val="20"/>
        </w:rPr>
        <w:t>s</w:t>
      </w:r>
      <w:r w:rsidR="00B7532A" w:rsidRPr="00ED2A9F">
        <w:rPr>
          <w:b w:val="0"/>
          <w:i/>
          <w:color w:val="auto"/>
          <w:sz w:val="20"/>
          <w:szCs w:val="20"/>
        </w:rPr>
        <w:t xml:space="preserve"> </w:t>
      </w:r>
      <w:r w:rsidR="00B7532A" w:rsidRPr="00624843">
        <w:rPr>
          <w:b w:val="0"/>
          <w:i/>
          <w:color w:val="auto"/>
          <w:sz w:val="20"/>
          <w:szCs w:val="20"/>
        </w:rPr>
        <w:t>granted</w:t>
      </w:r>
      <w:bookmarkEnd w:id="16"/>
      <w:bookmarkEnd w:id="17"/>
      <w:r w:rsidR="005314E9" w:rsidRPr="00624843">
        <w:rPr>
          <w:b w:val="0"/>
          <w:i/>
          <w:color w:val="auto"/>
          <w:sz w:val="20"/>
          <w:szCs w:val="20"/>
        </w:rPr>
        <w:t xml:space="preserve"> (</w:t>
      </w:r>
      <w:r w:rsidR="00AF07B9" w:rsidRPr="00624843">
        <w:rPr>
          <w:b w:val="0"/>
          <w:i/>
          <w:color w:val="auto"/>
          <w:sz w:val="20"/>
          <w:szCs w:val="20"/>
        </w:rPr>
        <w:t>(*)</w:t>
      </w:r>
      <w:r w:rsidR="00EE25A2" w:rsidRPr="00624843">
        <w:rPr>
          <w:b w:val="0"/>
          <w:i/>
          <w:color w:val="auto"/>
          <w:sz w:val="20"/>
          <w:szCs w:val="20"/>
        </w:rPr>
        <w:t xml:space="preserve"> Outline application with all matters </w:t>
      </w:r>
      <w:r w:rsidR="005314E9" w:rsidRPr="00624843">
        <w:rPr>
          <w:b w:val="0"/>
          <w:i/>
          <w:color w:val="auto"/>
          <w:sz w:val="20"/>
          <w:szCs w:val="20"/>
        </w:rPr>
        <w:t>reserved)</w:t>
      </w:r>
    </w:p>
    <w:p w14:paraId="2612EA38" w14:textId="77777777" w:rsidR="00791130" w:rsidRPr="0082187F" w:rsidRDefault="7B2AE4AC" w:rsidP="00CC5DA0">
      <w:pPr>
        <w:pStyle w:val="Heading2"/>
      </w:pPr>
      <w:bookmarkStart w:id="18" w:name="_Toc141166598"/>
      <w:r>
        <w:t>Delivery</w:t>
      </w:r>
      <w:bookmarkEnd w:id="18"/>
    </w:p>
    <w:p w14:paraId="2B41D805" w14:textId="5CBEEA29" w:rsidR="003A6AFF" w:rsidRPr="00905FC8" w:rsidRDefault="7B2AE4AC" w:rsidP="00877570">
      <w:pPr>
        <w:pStyle w:val="NoSpacing"/>
        <w:jc w:val="both"/>
        <w:rPr>
          <w:sz w:val="26"/>
          <w:szCs w:val="26"/>
          <w:highlight w:val="yellow"/>
        </w:rPr>
      </w:pPr>
      <w:r w:rsidRPr="741B861B">
        <w:rPr>
          <w:sz w:val="26"/>
          <w:szCs w:val="26"/>
        </w:rPr>
        <w:t xml:space="preserve">Within the monitoring year </w:t>
      </w:r>
      <w:r w:rsidR="736EC2B0" w:rsidRPr="741B861B">
        <w:rPr>
          <w:sz w:val="26"/>
          <w:szCs w:val="26"/>
        </w:rPr>
        <w:t>20</w:t>
      </w:r>
      <w:r w:rsidR="166C08AE" w:rsidRPr="741B861B">
        <w:rPr>
          <w:sz w:val="26"/>
          <w:szCs w:val="26"/>
        </w:rPr>
        <w:t>22</w:t>
      </w:r>
      <w:r w:rsidR="0AD765DD" w:rsidRPr="741B861B">
        <w:rPr>
          <w:sz w:val="26"/>
          <w:szCs w:val="26"/>
        </w:rPr>
        <w:t>/2</w:t>
      </w:r>
      <w:r w:rsidR="166C08AE" w:rsidRPr="741B861B">
        <w:rPr>
          <w:sz w:val="26"/>
          <w:szCs w:val="26"/>
        </w:rPr>
        <w:t>3</w:t>
      </w:r>
      <w:r w:rsidR="736EC2B0" w:rsidRPr="741B861B">
        <w:rPr>
          <w:sz w:val="26"/>
          <w:szCs w:val="26"/>
        </w:rPr>
        <w:t xml:space="preserve"> a total of </w:t>
      </w:r>
      <w:r w:rsidR="00831791" w:rsidRPr="741B861B">
        <w:rPr>
          <w:sz w:val="26"/>
          <w:szCs w:val="26"/>
        </w:rPr>
        <w:t>3</w:t>
      </w:r>
      <w:r w:rsidR="00B7750D" w:rsidRPr="741B861B">
        <w:rPr>
          <w:sz w:val="26"/>
          <w:szCs w:val="26"/>
        </w:rPr>
        <w:t>59</w:t>
      </w:r>
      <w:r w:rsidR="3BEF0399" w:rsidRPr="741B861B">
        <w:rPr>
          <w:sz w:val="26"/>
          <w:szCs w:val="26"/>
        </w:rPr>
        <w:t xml:space="preserve"> </w:t>
      </w:r>
      <w:r w:rsidR="736EC2B0" w:rsidRPr="741B861B">
        <w:rPr>
          <w:sz w:val="26"/>
          <w:szCs w:val="26"/>
        </w:rPr>
        <w:t xml:space="preserve">dwellings were completed </w:t>
      </w:r>
      <w:r w:rsidR="34F04ECC" w:rsidRPr="741B861B">
        <w:rPr>
          <w:sz w:val="26"/>
          <w:szCs w:val="26"/>
        </w:rPr>
        <w:t xml:space="preserve">whilst one was </w:t>
      </w:r>
      <w:r w:rsidR="736EC2B0" w:rsidRPr="741B861B">
        <w:rPr>
          <w:sz w:val="26"/>
          <w:szCs w:val="26"/>
        </w:rPr>
        <w:t>lost</w:t>
      </w:r>
      <w:r w:rsidR="5BA5430E" w:rsidRPr="741B861B">
        <w:rPr>
          <w:sz w:val="26"/>
          <w:szCs w:val="26"/>
        </w:rPr>
        <w:t>,</w:t>
      </w:r>
      <w:r w:rsidR="7A9958CE" w:rsidRPr="741B861B">
        <w:rPr>
          <w:sz w:val="26"/>
          <w:szCs w:val="26"/>
        </w:rPr>
        <w:t xml:space="preserve"> giving a net gain of </w:t>
      </w:r>
      <w:r w:rsidR="00831791" w:rsidRPr="741B861B">
        <w:rPr>
          <w:sz w:val="26"/>
          <w:szCs w:val="26"/>
        </w:rPr>
        <w:t>3</w:t>
      </w:r>
      <w:r w:rsidR="00871F84" w:rsidRPr="741B861B">
        <w:rPr>
          <w:sz w:val="26"/>
          <w:szCs w:val="26"/>
        </w:rPr>
        <w:t>5</w:t>
      </w:r>
      <w:r w:rsidR="5049DAC7" w:rsidRPr="741B861B">
        <w:rPr>
          <w:sz w:val="26"/>
          <w:szCs w:val="26"/>
        </w:rPr>
        <w:t>8</w:t>
      </w:r>
      <w:r w:rsidR="6EEC664A" w:rsidRPr="741B861B">
        <w:rPr>
          <w:sz w:val="26"/>
          <w:szCs w:val="26"/>
        </w:rPr>
        <w:t xml:space="preserve"> d</w:t>
      </w:r>
      <w:r w:rsidR="736EC2B0" w:rsidRPr="741B861B">
        <w:rPr>
          <w:sz w:val="26"/>
          <w:szCs w:val="26"/>
        </w:rPr>
        <w:t>wellings</w:t>
      </w:r>
      <w:r w:rsidR="7F367AD3" w:rsidRPr="741B861B">
        <w:rPr>
          <w:sz w:val="26"/>
          <w:szCs w:val="26"/>
        </w:rPr>
        <w:t xml:space="preserve">. </w:t>
      </w:r>
      <w:r w:rsidR="7A9958CE" w:rsidRPr="741B861B">
        <w:rPr>
          <w:sz w:val="26"/>
          <w:szCs w:val="26"/>
        </w:rPr>
        <w:t>This is significantly above</w:t>
      </w:r>
      <w:r w:rsidR="164969B5" w:rsidRPr="741B861B">
        <w:rPr>
          <w:sz w:val="26"/>
          <w:szCs w:val="26"/>
        </w:rPr>
        <w:t xml:space="preserve"> the </w:t>
      </w:r>
      <w:r w:rsidR="3AF72296" w:rsidRPr="741B861B">
        <w:rPr>
          <w:sz w:val="26"/>
          <w:szCs w:val="26"/>
        </w:rPr>
        <w:t>local plan</w:t>
      </w:r>
      <w:r w:rsidR="58BA50CE" w:rsidRPr="741B861B">
        <w:rPr>
          <w:sz w:val="26"/>
          <w:szCs w:val="26"/>
        </w:rPr>
        <w:t xml:space="preserve"> target of 177 dwellings per</w:t>
      </w:r>
      <w:r w:rsidR="7F367AD3" w:rsidRPr="741B861B">
        <w:rPr>
          <w:sz w:val="26"/>
          <w:szCs w:val="26"/>
        </w:rPr>
        <w:t xml:space="preserve"> year</w:t>
      </w:r>
      <w:r w:rsidR="58BA50CE" w:rsidRPr="741B861B">
        <w:rPr>
          <w:sz w:val="26"/>
          <w:szCs w:val="26"/>
        </w:rPr>
        <w:t xml:space="preserve">, </w:t>
      </w:r>
      <w:r w:rsidR="7A9958CE" w:rsidRPr="741B861B">
        <w:rPr>
          <w:sz w:val="26"/>
          <w:szCs w:val="26"/>
        </w:rPr>
        <w:t>and results mostly from completions on the golf course</w:t>
      </w:r>
      <w:r w:rsidR="0AD765DD" w:rsidRPr="741B861B">
        <w:rPr>
          <w:sz w:val="26"/>
          <w:szCs w:val="26"/>
        </w:rPr>
        <w:t xml:space="preserve">, Dunstall Lane </w:t>
      </w:r>
      <w:r w:rsidR="7A9958CE" w:rsidRPr="741B861B">
        <w:rPr>
          <w:sz w:val="26"/>
          <w:szCs w:val="26"/>
        </w:rPr>
        <w:t>and Anker Valley SUE sites.</w:t>
      </w:r>
      <w:r w:rsidR="01AE4488" w:rsidRPr="741B861B">
        <w:rPr>
          <w:sz w:val="26"/>
          <w:szCs w:val="26"/>
        </w:rPr>
        <w:t xml:space="preserve"> A separate housing delivery document (</w:t>
      </w:r>
      <w:r w:rsidR="487F58C5" w:rsidRPr="741B861B">
        <w:rPr>
          <w:sz w:val="26"/>
          <w:szCs w:val="26"/>
        </w:rPr>
        <w:t xml:space="preserve">Housing Delivery Paper </w:t>
      </w:r>
      <w:r w:rsidR="4E99AC3A" w:rsidRPr="741B861B">
        <w:rPr>
          <w:sz w:val="26"/>
          <w:szCs w:val="26"/>
        </w:rPr>
        <w:t>20</w:t>
      </w:r>
      <w:r w:rsidR="20EAF011" w:rsidRPr="741B861B">
        <w:rPr>
          <w:sz w:val="26"/>
          <w:szCs w:val="26"/>
        </w:rPr>
        <w:t>22</w:t>
      </w:r>
      <w:r w:rsidR="0AD765DD" w:rsidRPr="741B861B">
        <w:rPr>
          <w:sz w:val="26"/>
          <w:szCs w:val="26"/>
        </w:rPr>
        <w:t>/2</w:t>
      </w:r>
      <w:r w:rsidR="20EAF011" w:rsidRPr="741B861B">
        <w:rPr>
          <w:sz w:val="26"/>
          <w:szCs w:val="26"/>
        </w:rPr>
        <w:t>3</w:t>
      </w:r>
      <w:r w:rsidR="01AE4488" w:rsidRPr="741B861B">
        <w:rPr>
          <w:sz w:val="26"/>
          <w:szCs w:val="26"/>
        </w:rPr>
        <w:t>) has been published which provides further details in relation to the dwellings delivered during 20</w:t>
      </w:r>
      <w:r w:rsidR="20EAF011" w:rsidRPr="741B861B">
        <w:rPr>
          <w:sz w:val="26"/>
          <w:szCs w:val="26"/>
        </w:rPr>
        <w:t>22</w:t>
      </w:r>
      <w:r w:rsidR="0AD765DD" w:rsidRPr="741B861B">
        <w:rPr>
          <w:sz w:val="26"/>
          <w:szCs w:val="26"/>
        </w:rPr>
        <w:t>/2</w:t>
      </w:r>
      <w:r w:rsidR="20EAF011" w:rsidRPr="741B861B">
        <w:rPr>
          <w:sz w:val="26"/>
          <w:szCs w:val="26"/>
        </w:rPr>
        <w:t>3</w:t>
      </w:r>
      <w:r w:rsidR="01AE4488" w:rsidRPr="741B861B">
        <w:rPr>
          <w:sz w:val="26"/>
          <w:szCs w:val="26"/>
        </w:rPr>
        <w:t xml:space="preserve">. Figure </w:t>
      </w:r>
      <w:r w:rsidR="317844A5" w:rsidRPr="741B861B">
        <w:rPr>
          <w:sz w:val="26"/>
          <w:szCs w:val="26"/>
        </w:rPr>
        <w:t>1</w:t>
      </w:r>
      <w:r w:rsidR="01AE4488" w:rsidRPr="741B861B">
        <w:rPr>
          <w:sz w:val="26"/>
          <w:szCs w:val="26"/>
        </w:rPr>
        <w:t xml:space="preserve"> below shows the cumulative delivery of housing over the </w:t>
      </w:r>
      <w:r w:rsidR="3AF72296" w:rsidRPr="741B861B">
        <w:rPr>
          <w:sz w:val="26"/>
          <w:szCs w:val="26"/>
        </w:rPr>
        <w:t>local plan</w:t>
      </w:r>
      <w:r w:rsidR="01AE4488" w:rsidRPr="741B861B">
        <w:rPr>
          <w:sz w:val="26"/>
          <w:szCs w:val="26"/>
        </w:rPr>
        <w:t xml:space="preserve"> period</w:t>
      </w:r>
      <w:r w:rsidR="2C55300D" w:rsidRPr="741B861B">
        <w:rPr>
          <w:sz w:val="26"/>
          <w:szCs w:val="26"/>
        </w:rPr>
        <w:t xml:space="preserve"> to date</w:t>
      </w:r>
      <w:r w:rsidR="01AE4488" w:rsidRPr="741B861B">
        <w:rPr>
          <w:sz w:val="26"/>
          <w:szCs w:val="26"/>
        </w:rPr>
        <w:t>.</w:t>
      </w:r>
    </w:p>
    <w:p w14:paraId="180910D5" w14:textId="77777777" w:rsidR="0082187F" w:rsidRPr="00107B77" w:rsidRDefault="0082187F" w:rsidP="00877570">
      <w:pPr>
        <w:pStyle w:val="NoSpacing"/>
        <w:jc w:val="both"/>
        <w:rPr>
          <w:sz w:val="26"/>
          <w:szCs w:val="26"/>
          <w:highlight w:val="yellow"/>
        </w:rPr>
      </w:pPr>
    </w:p>
    <w:p w14:paraId="22334083" w14:textId="3785AF5C" w:rsidR="00E02CC5" w:rsidRPr="00E02CC5" w:rsidRDefault="00465BD4" w:rsidP="00465BD4">
      <w:pPr>
        <w:spacing w:after="0" w:line="240" w:lineRule="auto"/>
        <w:jc w:val="center"/>
        <w:rPr>
          <w:rFonts w:ascii="Times New Roman" w:eastAsia="Times New Roman" w:hAnsi="Times New Roman" w:cs="Times New Roman"/>
          <w:sz w:val="24"/>
          <w:szCs w:val="24"/>
          <w:lang w:eastAsia="en-GB"/>
        </w:rPr>
      </w:pPr>
      <w:r w:rsidRPr="00465BD4">
        <w:rPr>
          <w:rFonts w:ascii="Times New Roman" w:eastAsia="Times New Roman" w:hAnsi="Times New Roman" w:cs="Times New Roman"/>
          <w:noProof/>
          <w:sz w:val="24"/>
          <w:szCs w:val="24"/>
          <w:lang w:eastAsia="en-GB"/>
        </w:rPr>
        <w:drawing>
          <wp:inline distT="0" distB="0" distL="0" distR="0" wp14:anchorId="57F13FA0" wp14:editId="4644F591">
            <wp:extent cx="5429250" cy="2834928"/>
            <wp:effectExtent l="19050" t="19050" r="19050" b="22860"/>
            <wp:docPr id="875053929" name="Picture 875053929" descr="graph of cumulative delivery against plan target. Shows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53929" name="Picture 875053929" descr="graph of cumulative delivery against plan target. Shows upward tre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8430" cy="2855386"/>
                    </a:xfrm>
                    <a:prstGeom prst="rect">
                      <a:avLst/>
                    </a:prstGeom>
                    <a:noFill/>
                    <a:ln>
                      <a:solidFill>
                        <a:schemeClr val="tx1"/>
                      </a:solidFill>
                    </a:ln>
                  </pic:spPr>
                </pic:pic>
              </a:graphicData>
            </a:graphic>
          </wp:inline>
        </w:drawing>
      </w:r>
    </w:p>
    <w:p w14:paraId="1E4DE4FC" w14:textId="07AF60B8" w:rsidR="0015736D" w:rsidRPr="0082187F" w:rsidRDefault="00680FF0" w:rsidP="00680FF0">
      <w:pPr>
        <w:pStyle w:val="Caption"/>
        <w:rPr>
          <w:b w:val="0"/>
          <w:i/>
          <w:color w:val="auto"/>
          <w:sz w:val="20"/>
          <w:szCs w:val="20"/>
        </w:rPr>
      </w:pPr>
      <w:bookmarkStart w:id="19" w:name="_Toc490820690"/>
      <w:bookmarkStart w:id="20" w:name="_Toc133397770"/>
      <w:r>
        <w:rPr>
          <w:b w:val="0"/>
          <w:i/>
          <w:color w:val="auto"/>
          <w:sz w:val="20"/>
          <w:szCs w:val="20"/>
        </w:rPr>
        <w:t xml:space="preserve">     </w:t>
      </w:r>
      <w:r w:rsidR="00867ABA">
        <w:rPr>
          <w:b w:val="0"/>
          <w:i/>
          <w:color w:val="auto"/>
          <w:sz w:val="20"/>
          <w:szCs w:val="20"/>
        </w:rPr>
        <w:t xml:space="preserve"> </w:t>
      </w:r>
      <w:r w:rsidR="00992DC1" w:rsidRPr="0082187F">
        <w:rPr>
          <w:b w:val="0"/>
          <w:i/>
          <w:color w:val="auto"/>
          <w:sz w:val="20"/>
          <w:szCs w:val="20"/>
        </w:rPr>
        <w:t xml:space="preserve">Figure </w:t>
      </w:r>
      <w:r w:rsidR="00992DC1" w:rsidRPr="0082187F">
        <w:rPr>
          <w:b w:val="0"/>
          <w:i/>
          <w:color w:val="auto"/>
          <w:sz w:val="20"/>
          <w:szCs w:val="20"/>
        </w:rPr>
        <w:fldChar w:fldCharType="begin"/>
      </w:r>
      <w:r w:rsidR="00992DC1" w:rsidRPr="0082187F">
        <w:rPr>
          <w:b w:val="0"/>
          <w:i/>
          <w:color w:val="auto"/>
          <w:sz w:val="20"/>
          <w:szCs w:val="20"/>
        </w:rPr>
        <w:instrText xml:space="preserve"> SEQ Figure \* ARABIC </w:instrText>
      </w:r>
      <w:r w:rsidR="00992DC1" w:rsidRPr="0082187F">
        <w:rPr>
          <w:b w:val="0"/>
          <w:i/>
          <w:color w:val="auto"/>
          <w:sz w:val="20"/>
          <w:szCs w:val="20"/>
        </w:rPr>
        <w:fldChar w:fldCharType="separate"/>
      </w:r>
      <w:r w:rsidR="00782072">
        <w:rPr>
          <w:b w:val="0"/>
          <w:i/>
          <w:noProof/>
          <w:color w:val="auto"/>
          <w:sz w:val="20"/>
          <w:szCs w:val="20"/>
        </w:rPr>
        <w:t>1</w:t>
      </w:r>
      <w:r w:rsidR="00992DC1" w:rsidRPr="0082187F">
        <w:rPr>
          <w:b w:val="0"/>
          <w:i/>
          <w:color w:val="auto"/>
          <w:sz w:val="20"/>
          <w:szCs w:val="20"/>
        </w:rPr>
        <w:fldChar w:fldCharType="end"/>
      </w:r>
      <w:r w:rsidR="00992DC1" w:rsidRPr="0082187F">
        <w:rPr>
          <w:b w:val="0"/>
          <w:i/>
          <w:color w:val="auto"/>
          <w:sz w:val="20"/>
          <w:szCs w:val="20"/>
        </w:rPr>
        <w:t>: Cumulative Housing Delivery</w:t>
      </w:r>
      <w:bookmarkEnd w:id="19"/>
      <w:bookmarkEnd w:id="20"/>
    </w:p>
    <w:p w14:paraId="0F64CA43" w14:textId="77777777" w:rsidR="00844935" w:rsidRDefault="00844935" w:rsidP="00B24540">
      <w:pPr>
        <w:pStyle w:val="NoSpacing"/>
        <w:jc w:val="both"/>
        <w:rPr>
          <w:sz w:val="26"/>
          <w:szCs w:val="26"/>
        </w:rPr>
      </w:pPr>
    </w:p>
    <w:p w14:paraId="7AEF9669" w14:textId="1F3A5659" w:rsidR="0006238A" w:rsidRPr="007C1D8F" w:rsidRDefault="0006238A" w:rsidP="00B24540">
      <w:pPr>
        <w:pStyle w:val="NoSpacing"/>
        <w:jc w:val="both"/>
        <w:rPr>
          <w:sz w:val="26"/>
          <w:szCs w:val="26"/>
        </w:rPr>
      </w:pPr>
      <w:r w:rsidRPr="007C1D8F">
        <w:rPr>
          <w:sz w:val="26"/>
          <w:szCs w:val="26"/>
        </w:rPr>
        <w:t xml:space="preserve">Commencement </w:t>
      </w:r>
      <w:r w:rsidR="001B0E4B" w:rsidRPr="007C1D8F">
        <w:rPr>
          <w:sz w:val="26"/>
          <w:szCs w:val="26"/>
        </w:rPr>
        <w:t xml:space="preserve">of development </w:t>
      </w:r>
      <w:r w:rsidRPr="007C1D8F">
        <w:rPr>
          <w:sz w:val="26"/>
          <w:szCs w:val="26"/>
        </w:rPr>
        <w:t>on all three SUE sites has</w:t>
      </w:r>
      <w:r w:rsidR="009442E3" w:rsidRPr="007C1D8F">
        <w:rPr>
          <w:sz w:val="26"/>
          <w:szCs w:val="26"/>
        </w:rPr>
        <w:t xml:space="preserve"> increased the cumulative delivery and </w:t>
      </w:r>
      <w:r w:rsidR="00F751B9">
        <w:rPr>
          <w:sz w:val="26"/>
          <w:szCs w:val="26"/>
        </w:rPr>
        <w:t>surpassed</w:t>
      </w:r>
      <w:r w:rsidR="009442E3" w:rsidRPr="007C1D8F">
        <w:rPr>
          <w:sz w:val="26"/>
          <w:szCs w:val="26"/>
        </w:rPr>
        <w:t xml:space="preserve"> the local plan target</w:t>
      </w:r>
      <w:r w:rsidR="004D1696" w:rsidRPr="007C1D8F">
        <w:rPr>
          <w:sz w:val="26"/>
          <w:szCs w:val="26"/>
        </w:rPr>
        <w:t xml:space="preserve">. </w:t>
      </w:r>
      <w:r w:rsidR="0023267A" w:rsidRPr="007C1D8F">
        <w:rPr>
          <w:sz w:val="26"/>
          <w:szCs w:val="26"/>
        </w:rPr>
        <w:t>During the next 2 years</w:t>
      </w:r>
      <w:r w:rsidR="00CF2B79" w:rsidRPr="007C1D8F">
        <w:rPr>
          <w:sz w:val="26"/>
          <w:szCs w:val="26"/>
        </w:rPr>
        <w:t xml:space="preserve"> </w:t>
      </w:r>
      <w:r w:rsidR="00E22043" w:rsidRPr="007C1D8F">
        <w:rPr>
          <w:sz w:val="26"/>
          <w:szCs w:val="26"/>
        </w:rPr>
        <w:t>the SUE sites are due to complete, however, the gap between the local plan target and actual delivery will re</w:t>
      </w:r>
      <w:r w:rsidR="00364AA3" w:rsidRPr="007C1D8F">
        <w:rPr>
          <w:sz w:val="26"/>
          <w:szCs w:val="26"/>
        </w:rPr>
        <w:t xml:space="preserve">main substantial as </w:t>
      </w:r>
      <w:r w:rsidR="00CF2B79" w:rsidRPr="007C1D8F">
        <w:rPr>
          <w:sz w:val="26"/>
          <w:szCs w:val="26"/>
        </w:rPr>
        <w:t xml:space="preserve">can be seen in figure </w:t>
      </w:r>
      <w:r w:rsidR="00844935">
        <w:rPr>
          <w:sz w:val="26"/>
          <w:szCs w:val="26"/>
        </w:rPr>
        <w:t>2</w:t>
      </w:r>
      <w:r w:rsidR="00CF2B79" w:rsidRPr="007C1D8F">
        <w:rPr>
          <w:sz w:val="26"/>
          <w:szCs w:val="26"/>
        </w:rPr>
        <w:t xml:space="preserve"> below. </w:t>
      </w:r>
    </w:p>
    <w:p w14:paraId="3AFE12F4" w14:textId="77777777" w:rsidR="00CF2B79" w:rsidRDefault="00CF2B79" w:rsidP="00B24540">
      <w:pPr>
        <w:pStyle w:val="NoSpacing"/>
        <w:jc w:val="both"/>
        <w:rPr>
          <w:sz w:val="26"/>
          <w:szCs w:val="26"/>
          <w:highlight w:val="yellow"/>
        </w:rPr>
      </w:pPr>
    </w:p>
    <w:p w14:paraId="60BA2877" w14:textId="4224CA74" w:rsidR="00F92083" w:rsidRPr="00F92083" w:rsidRDefault="00A92E30" w:rsidP="00A92E30">
      <w:pPr>
        <w:spacing w:after="0" w:line="240" w:lineRule="auto"/>
        <w:jc w:val="center"/>
        <w:rPr>
          <w:rFonts w:ascii="Times New Roman" w:eastAsia="Times New Roman" w:hAnsi="Times New Roman" w:cs="Times New Roman"/>
          <w:sz w:val="24"/>
          <w:szCs w:val="24"/>
          <w:lang w:eastAsia="en-GB"/>
        </w:rPr>
      </w:pPr>
      <w:r w:rsidRPr="00A92E30">
        <w:rPr>
          <w:rFonts w:ascii="Times New Roman" w:eastAsia="Times New Roman" w:hAnsi="Times New Roman" w:cs="Times New Roman"/>
          <w:noProof/>
          <w:sz w:val="24"/>
          <w:szCs w:val="24"/>
          <w:lang w:eastAsia="en-GB"/>
        </w:rPr>
        <w:lastRenderedPageBreak/>
        <w:drawing>
          <wp:inline distT="0" distB="0" distL="0" distR="0" wp14:anchorId="72B0FE68" wp14:editId="22C2A791">
            <wp:extent cx="5246233" cy="3048000"/>
            <wp:effectExtent l="19050" t="19050" r="12065" b="19050"/>
            <wp:docPr id="1601776973" name="Picture 1601776973" descr="A graph showing cumulative delivery agains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76973" name="Picture 1601776973" descr="A graph showing cumulative delivery against pl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4509" cy="3058618"/>
                    </a:xfrm>
                    <a:prstGeom prst="rect">
                      <a:avLst/>
                    </a:prstGeom>
                    <a:noFill/>
                    <a:ln>
                      <a:solidFill>
                        <a:schemeClr val="tx1"/>
                      </a:solidFill>
                    </a:ln>
                  </pic:spPr>
                </pic:pic>
              </a:graphicData>
            </a:graphic>
          </wp:inline>
        </w:drawing>
      </w:r>
    </w:p>
    <w:p w14:paraId="33F7B345" w14:textId="038D64F5" w:rsidR="00844935" w:rsidRPr="0082187F" w:rsidRDefault="00825249" w:rsidP="00825249">
      <w:pPr>
        <w:pStyle w:val="Caption"/>
        <w:rPr>
          <w:b w:val="0"/>
          <w:i/>
          <w:color w:val="auto"/>
          <w:sz w:val="20"/>
          <w:szCs w:val="20"/>
        </w:rPr>
      </w:pPr>
      <w:r>
        <w:rPr>
          <w:b w:val="0"/>
          <w:i/>
          <w:color w:val="auto"/>
          <w:sz w:val="20"/>
          <w:szCs w:val="20"/>
        </w:rPr>
        <w:t xml:space="preserve">         </w:t>
      </w:r>
      <w:r w:rsidR="00844935" w:rsidRPr="0082187F">
        <w:rPr>
          <w:b w:val="0"/>
          <w:i/>
          <w:color w:val="auto"/>
          <w:sz w:val="20"/>
          <w:szCs w:val="20"/>
        </w:rPr>
        <w:t xml:space="preserve">Figure </w:t>
      </w:r>
      <w:r w:rsidR="00844935">
        <w:rPr>
          <w:b w:val="0"/>
          <w:i/>
          <w:color w:val="auto"/>
          <w:sz w:val="20"/>
          <w:szCs w:val="20"/>
        </w:rPr>
        <w:t>2</w:t>
      </w:r>
      <w:r w:rsidR="00844935" w:rsidRPr="0082187F">
        <w:rPr>
          <w:b w:val="0"/>
          <w:i/>
          <w:color w:val="auto"/>
          <w:sz w:val="20"/>
          <w:szCs w:val="20"/>
        </w:rPr>
        <w:t xml:space="preserve">: </w:t>
      </w:r>
      <w:r w:rsidR="00844935">
        <w:rPr>
          <w:b w:val="0"/>
          <w:i/>
          <w:color w:val="auto"/>
          <w:sz w:val="20"/>
          <w:szCs w:val="20"/>
        </w:rPr>
        <w:t>Projected cumulative delivery</w:t>
      </w:r>
    </w:p>
    <w:p w14:paraId="5283CD90" w14:textId="77777777" w:rsidR="00AE3670" w:rsidRPr="008D4AFA" w:rsidRDefault="0527704A" w:rsidP="001E40A6">
      <w:pPr>
        <w:pStyle w:val="Heading2"/>
      </w:pPr>
      <w:bookmarkStart w:id="21" w:name="_Toc141166599"/>
      <w:r>
        <w:t>Affordable housing</w:t>
      </w:r>
      <w:bookmarkEnd w:id="21"/>
    </w:p>
    <w:p w14:paraId="21750A09" w14:textId="641EA63B" w:rsidR="00992DC1" w:rsidRPr="00107B77" w:rsidRDefault="111B348C" w:rsidP="00FD1CAA">
      <w:pPr>
        <w:pStyle w:val="NoSpacing"/>
        <w:jc w:val="both"/>
        <w:rPr>
          <w:sz w:val="26"/>
          <w:szCs w:val="26"/>
          <w:highlight w:val="yellow"/>
        </w:rPr>
      </w:pPr>
      <w:r w:rsidRPr="401D4F5D">
        <w:rPr>
          <w:sz w:val="26"/>
          <w:szCs w:val="26"/>
        </w:rPr>
        <w:t xml:space="preserve">The affordable housing target set out in the </w:t>
      </w:r>
      <w:r w:rsidR="3AF72296" w:rsidRPr="401D4F5D">
        <w:rPr>
          <w:sz w:val="26"/>
          <w:szCs w:val="26"/>
        </w:rPr>
        <w:t>local plan</w:t>
      </w:r>
      <w:r w:rsidR="7DC98D06" w:rsidRPr="401D4F5D">
        <w:rPr>
          <w:sz w:val="26"/>
          <w:szCs w:val="26"/>
        </w:rPr>
        <w:t xml:space="preserve"> (policy HG4)</w:t>
      </w:r>
      <w:r w:rsidRPr="401D4F5D">
        <w:rPr>
          <w:sz w:val="26"/>
          <w:szCs w:val="26"/>
        </w:rPr>
        <w:t xml:space="preserve"> is</w:t>
      </w:r>
      <w:r w:rsidR="632F4784" w:rsidRPr="401D4F5D">
        <w:rPr>
          <w:sz w:val="26"/>
          <w:szCs w:val="26"/>
        </w:rPr>
        <w:t xml:space="preserve"> </w:t>
      </w:r>
      <w:r w:rsidR="004CD06D" w:rsidRPr="401D4F5D">
        <w:rPr>
          <w:sz w:val="26"/>
          <w:szCs w:val="26"/>
        </w:rPr>
        <w:t xml:space="preserve">a minimum of </w:t>
      </w:r>
      <w:r w:rsidR="632F4784" w:rsidRPr="401D4F5D">
        <w:rPr>
          <w:sz w:val="26"/>
          <w:szCs w:val="26"/>
        </w:rPr>
        <w:t xml:space="preserve">1,000 dwellings by the end of the </w:t>
      </w:r>
      <w:r w:rsidR="001F46D8">
        <w:rPr>
          <w:sz w:val="26"/>
          <w:szCs w:val="26"/>
        </w:rPr>
        <w:t>p</w:t>
      </w:r>
      <w:r w:rsidR="632F4784" w:rsidRPr="401D4F5D">
        <w:rPr>
          <w:sz w:val="26"/>
          <w:szCs w:val="26"/>
        </w:rPr>
        <w:t>lan period, which equates to</w:t>
      </w:r>
      <w:r w:rsidRPr="401D4F5D">
        <w:rPr>
          <w:sz w:val="26"/>
          <w:szCs w:val="26"/>
        </w:rPr>
        <w:t xml:space="preserve"> 40</w:t>
      </w:r>
      <w:r w:rsidR="4BB74649" w:rsidRPr="401D4F5D">
        <w:rPr>
          <w:sz w:val="26"/>
          <w:szCs w:val="26"/>
        </w:rPr>
        <w:t xml:space="preserve"> dwellings</w:t>
      </w:r>
      <w:r w:rsidRPr="401D4F5D">
        <w:rPr>
          <w:sz w:val="26"/>
          <w:szCs w:val="26"/>
        </w:rPr>
        <w:t xml:space="preserve"> per annum. During 20</w:t>
      </w:r>
      <w:r w:rsidR="20EAF011" w:rsidRPr="401D4F5D">
        <w:rPr>
          <w:sz w:val="26"/>
          <w:szCs w:val="26"/>
        </w:rPr>
        <w:t>22</w:t>
      </w:r>
      <w:r w:rsidRPr="401D4F5D">
        <w:rPr>
          <w:sz w:val="26"/>
          <w:szCs w:val="26"/>
        </w:rPr>
        <w:t>/</w:t>
      </w:r>
      <w:r w:rsidR="20EAF011" w:rsidRPr="401D4F5D">
        <w:rPr>
          <w:sz w:val="26"/>
          <w:szCs w:val="26"/>
        </w:rPr>
        <w:t>23</w:t>
      </w:r>
      <w:r w:rsidRPr="401D4F5D">
        <w:rPr>
          <w:sz w:val="26"/>
          <w:szCs w:val="26"/>
        </w:rPr>
        <w:t xml:space="preserve"> planning permission</w:t>
      </w:r>
      <w:r w:rsidR="14EE0F48" w:rsidRPr="401D4F5D">
        <w:rPr>
          <w:sz w:val="26"/>
          <w:szCs w:val="26"/>
        </w:rPr>
        <w:t>s</w:t>
      </w:r>
      <w:r w:rsidRPr="401D4F5D">
        <w:rPr>
          <w:sz w:val="26"/>
          <w:szCs w:val="26"/>
        </w:rPr>
        <w:t xml:space="preserve"> w</w:t>
      </w:r>
      <w:r w:rsidR="14EE0F48" w:rsidRPr="401D4F5D">
        <w:rPr>
          <w:sz w:val="26"/>
          <w:szCs w:val="26"/>
        </w:rPr>
        <w:t>ere</w:t>
      </w:r>
      <w:r w:rsidRPr="401D4F5D">
        <w:rPr>
          <w:sz w:val="26"/>
          <w:szCs w:val="26"/>
        </w:rPr>
        <w:t xml:space="preserve"> granted</w:t>
      </w:r>
      <w:r w:rsidR="14EE0F48" w:rsidRPr="401D4F5D">
        <w:rPr>
          <w:sz w:val="26"/>
          <w:szCs w:val="26"/>
        </w:rPr>
        <w:t xml:space="preserve"> for</w:t>
      </w:r>
      <w:r w:rsidRPr="401D4F5D">
        <w:rPr>
          <w:sz w:val="26"/>
          <w:szCs w:val="26"/>
        </w:rPr>
        <w:t xml:space="preserve"> developments that </w:t>
      </w:r>
      <w:r w:rsidR="14EE0F48" w:rsidRPr="401D4F5D">
        <w:rPr>
          <w:sz w:val="26"/>
          <w:szCs w:val="26"/>
        </w:rPr>
        <w:t>c</w:t>
      </w:r>
      <w:r w:rsidRPr="401D4F5D">
        <w:rPr>
          <w:sz w:val="26"/>
          <w:szCs w:val="26"/>
        </w:rPr>
        <w:t xml:space="preserve">ould result in the delivery </w:t>
      </w:r>
      <w:r w:rsidRPr="00716E9C">
        <w:rPr>
          <w:sz w:val="26"/>
          <w:szCs w:val="26"/>
        </w:rPr>
        <w:t xml:space="preserve">of </w:t>
      </w:r>
      <w:r w:rsidR="00716E9C" w:rsidRPr="00716E9C">
        <w:rPr>
          <w:sz w:val="26"/>
          <w:szCs w:val="26"/>
        </w:rPr>
        <w:t>8</w:t>
      </w:r>
      <w:r w:rsidRPr="00716E9C">
        <w:rPr>
          <w:sz w:val="26"/>
          <w:szCs w:val="26"/>
        </w:rPr>
        <w:t xml:space="preserve"> affordable dwellings</w:t>
      </w:r>
      <w:r w:rsidR="6ABA4556" w:rsidRPr="401D4F5D">
        <w:rPr>
          <w:sz w:val="26"/>
          <w:szCs w:val="26"/>
        </w:rPr>
        <w:t xml:space="preserve"> within the borough</w:t>
      </w:r>
      <w:r w:rsidR="001D7BBC">
        <w:rPr>
          <w:sz w:val="26"/>
          <w:szCs w:val="26"/>
        </w:rPr>
        <w:t xml:space="preserve"> (</w:t>
      </w:r>
      <w:r w:rsidR="00D94AE9">
        <w:rPr>
          <w:sz w:val="26"/>
          <w:szCs w:val="26"/>
        </w:rPr>
        <w:t>T</w:t>
      </w:r>
      <w:r w:rsidR="001D7BBC">
        <w:rPr>
          <w:sz w:val="26"/>
          <w:szCs w:val="26"/>
        </w:rPr>
        <w:t>able 2)</w:t>
      </w:r>
      <w:r w:rsidRPr="401D4F5D">
        <w:rPr>
          <w:sz w:val="26"/>
          <w:szCs w:val="26"/>
        </w:rPr>
        <w:t xml:space="preserve">. </w:t>
      </w:r>
    </w:p>
    <w:p w14:paraId="220EBF4E" w14:textId="77777777" w:rsidR="00D828F8" w:rsidRPr="00107B77" w:rsidRDefault="00D828F8" w:rsidP="000B6D6A">
      <w:pPr>
        <w:pStyle w:val="NoSpacing"/>
        <w:rPr>
          <w:sz w:val="26"/>
          <w:szCs w:val="26"/>
          <w:highlight w:val="yellow"/>
        </w:rPr>
      </w:pPr>
    </w:p>
    <w:tbl>
      <w:tblPr>
        <w:tblW w:w="8913" w:type="dxa"/>
        <w:tblInd w:w="93" w:type="dxa"/>
        <w:tblLook w:val="04A0" w:firstRow="1" w:lastRow="0" w:firstColumn="1" w:lastColumn="0" w:noHBand="0" w:noVBand="1"/>
      </w:tblPr>
      <w:tblGrid>
        <w:gridCol w:w="1194"/>
        <w:gridCol w:w="3710"/>
        <w:gridCol w:w="1755"/>
        <w:gridCol w:w="2254"/>
      </w:tblGrid>
      <w:tr w:rsidR="00F77E5C" w:rsidRPr="00F77E5C" w14:paraId="7261C226" w14:textId="77777777" w:rsidTr="00E5592B">
        <w:trPr>
          <w:trHeight w:val="300"/>
        </w:trPr>
        <w:tc>
          <w:tcPr>
            <w:tcW w:w="1194" w:type="dxa"/>
            <w:tcBorders>
              <w:top w:val="single" w:sz="8" w:space="0" w:color="auto"/>
              <w:left w:val="single" w:sz="8" w:space="0" w:color="auto"/>
              <w:bottom w:val="single" w:sz="4" w:space="0" w:color="000000"/>
              <w:right w:val="single" w:sz="4" w:space="0" w:color="000000"/>
            </w:tcBorders>
            <w:shd w:val="clear" w:color="000000" w:fill="B8CCE4"/>
            <w:noWrap/>
            <w:vAlign w:val="bottom"/>
            <w:hideMark/>
          </w:tcPr>
          <w:p w14:paraId="2ACDEA7B" w14:textId="77777777" w:rsidR="00F77E5C" w:rsidRPr="00F77E5C" w:rsidRDefault="00F77E5C" w:rsidP="00F77E5C">
            <w:pPr>
              <w:spacing w:after="0" w:line="240" w:lineRule="auto"/>
              <w:jc w:val="center"/>
              <w:rPr>
                <w:rFonts w:ascii="Calibri" w:eastAsia="Times New Roman" w:hAnsi="Calibri" w:cs="Times New Roman"/>
                <w:b/>
                <w:bCs/>
                <w:color w:val="000000"/>
                <w:lang w:eastAsia="en-GB"/>
              </w:rPr>
            </w:pPr>
            <w:r w:rsidRPr="00F77E5C">
              <w:rPr>
                <w:rFonts w:ascii="Calibri" w:eastAsia="Times New Roman" w:hAnsi="Calibri" w:cs="Times New Roman"/>
                <w:b/>
                <w:bCs/>
                <w:color w:val="000000"/>
                <w:lang w:eastAsia="en-GB"/>
              </w:rPr>
              <w:t>Reference</w:t>
            </w:r>
          </w:p>
        </w:tc>
        <w:tc>
          <w:tcPr>
            <w:tcW w:w="3710" w:type="dxa"/>
            <w:tcBorders>
              <w:top w:val="single" w:sz="8" w:space="0" w:color="auto"/>
              <w:left w:val="nil"/>
              <w:bottom w:val="single" w:sz="4" w:space="0" w:color="000000"/>
              <w:right w:val="single" w:sz="4" w:space="0" w:color="000000"/>
            </w:tcBorders>
            <w:shd w:val="clear" w:color="000000" w:fill="B8CCE4"/>
            <w:noWrap/>
            <w:vAlign w:val="bottom"/>
            <w:hideMark/>
          </w:tcPr>
          <w:p w14:paraId="38A92DAD" w14:textId="77777777" w:rsidR="00F77E5C" w:rsidRPr="00F77E5C" w:rsidRDefault="00F77E5C" w:rsidP="00F77E5C">
            <w:pPr>
              <w:spacing w:after="0" w:line="240" w:lineRule="auto"/>
              <w:jc w:val="center"/>
              <w:rPr>
                <w:rFonts w:ascii="Calibri" w:eastAsia="Times New Roman" w:hAnsi="Calibri" w:cs="Times New Roman"/>
                <w:b/>
                <w:bCs/>
                <w:color w:val="000000"/>
                <w:lang w:eastAsia="en-GB"/>
              </w:rPr>
            </w:pPr>
            <w:r w:rsidRPr="00F77E5C">
              <w:rPr>
                <w:rFonts w:ascii="Calibri" w:eastAsia="Times New Roman" w:hAnsi="Calibri" w:cs="Times New Roman"/>
                <w:b/>
                <w:bCs/>
                <w:color w:val="000000"/>
                <w:lang w:eastAsia="en-GB"/>
              </w:rPr>
              <w:t>Location</w:t>
            </w:r>
          </w:p>
        </w:tc>
        <w:tc>
          <w:tcPr>
            <w:tcW w:w="1755" w:type="dxa"/>
            <w:tcBorders>
              <w:top w:val="single" w:sz="8" w:space="0" w:color="auto"/>
              <w:left w:val="nil"/>
              <w:bottom w:val="single" w:sz="4" w:space="0" w:color="000000"/>
              <w:right w:val="single" w:sz="4" w:space="0" w:color="000000"/>
            </w:tcBorders>
            <w:shd w:val="clear" w:color="000000" w:fill="B8CCE4"/>
            <w:noWrap/>
            <w:vAlign w:val="bottom"/>
            <w:hideMark/>
          </w:tcPr>
          <w:p w14:paraId="4D4A1A24" w14:textId="77777777" w:rsidR="00F77E5C" w:rsidRPr="00F77E5C" w:rsidRDefault="00F77E5C" w:rsidP="00F77E5C">
            <w:pPr>
              <w:spacing w:after="0" w:line="240" w:lineRule="auto"/>
              <w:jc w:val="center"/>
              <w:rPr>
                <w:rFonts w:ascii="Calibri" w:eastAsia="Times New Roman" w:hAnsi="Calibri" w:cs="Times New Roman"/>
                <w:b/>
                <w:bCs/>
                <w:color w:val="000000"/>
                <w:lang w:eastAsia="en-GB"/>
              </w:rPr>
            </w:pPr>
            <w:r w:rsidRPr="00F77E5C">
              <w:rPr>
                <w:rFonts w:ascii="Calibri" w:eastAsia="Times New Roman" w:hAnsi="Calibri" w:cs="Times New Roman"/>
                <w:b/>
                <w:bCs/>
                <w:color w:val="000000"/>
                <w:lang w:eastAsia="en-GB"/>
              </w:rPr>
              <w:t>Application Type</w:t>
            </w:r>
          </w:p>
        </w:tc>
        <w:tc>
          <w:tcPr>
            <w:tcW w:w="2254" w:type="dxa"/>
            <w:tcBorders>
              <w:top w:val="single" w:sz="8" w:space="0" w:color="auto"/>
              <w:left w:val="nil"/>
              <w:bottom w:val="single" w:sz="4" w:space="0" w:color="000000"/>
              <w:right w:val="single" w:sz="8" w:space="0" w:color="auto"/>
            </w:tcBorders>
            <w:shd w:val="clear" w:color="000000" w:fill="B8CCE4"/>
            <w:noWrap/>
            <w:vAlign w:val="center"/>
            <w:hideMark/>
          </w:tcPr>
          <w:p w14:paraId="2ED9BE2E" w14:textId="77777777" w:rsidR="00F77E5C" w:rsidRPr="00F77E5C" w:rsidRDefault="00F77E5C" w:rsidP="00F77E5C">
            <w:pPr>
              <w:spacing w:after="0" w:line="240" w:lineRule="auto"/>
              <w:jc w:val="center"/>
              <w:rPr>
                <w:rFonts w:ascii="Calibri" w:eastAsia="Times New Roman" w:hAnsi="Calibri" w:cs="Times New Roman"/>
                <w:b/>
                <w:bCs/>
                <w:color w:val="000000"/>
                <w:lang w:eastAsia="en-GB"/>
              </w:rPr>
            </w:pPr>
            <w:r w:rsidRPr="00F77E5C">
              <w:rPr>
                <w:rFonts w:ascii="Calibri" w:eastAsia="Times New Roman" w:hAnsi="Calibri" w:cs="Times New Roman"/>
                <w:b/>
                <w:bCs/>
                <w:color w:val="000000"/>
                <w:lang w:eastAsia="en-GB"/>
              </w:rPr>
              <w:t>Affordable Dwellings</w:t>
            </w:r>
          </w:p>
        </w:tc>
      </w:tr>
      <w:tr w:rsidR="00F77E5C" w:rsidRPr="00F77E5C" w14:paraId="6CE27AAE" w14:textId="77777777" w:rsidTr="00E5592B">
        <w:trPr>
          <w:trHeight w:val="600"/>
        </w:trPr>
        <w:tc>
          <w:tcPr>
            <w:tcW w:w="1194" w:type="dxa"/>
            <w:tcBorders>
              <w:top w:val="nil"/>
              <w:left w:val="single" w:sz="8" w:space="0" w:color="auto"/>
              <w:bottom w:val="single" w:sz="4" w:space="0" w:color="000000"/>
              <w:right w:val="single" w:sz="4" w:space="0" w:color="000000"/>
            </w:tcBorders>
            <w:shd w:val="clear" w:color="auto" w:fill="auto"/>
            <w:vAlign w:val="bottom"/>
            <w:hideMark/>
          </w:tcPr>
          <w:p w14:paraId="2B622B09" w14:textId="4BB5654E" w:rsidR="00F77E5C" w:rsidRPr="00F77E5C" w:rsidRDefault="00F77E5C" w:rsidP="0064020A">
            <w:pPr>
              <w:spacing w:line="240" w:lineRule="auto"/>
              <w:rPr>
                <w:rFonts w:ascii="Calibri" w:eastAsia="Times New Roman" w:hAnsi="Calibri" w:cs="Times New Roman"/>
                <w:color w:val="000000"/>
                <w:lang w:eastAsia="en-GB"/>
              </w:rPr>
            </w:pPr>
            <w:r w:rsidRPr="00F77E5C">
              <w:rPr>
                <w:rFonts w:ascii="Calibri" w:eastAsia="Times New Roman" w:hAnsi="Calibri" w:cs="Times New Roman"/>
                <w:color w:val="000000"/>
                <w:lang w:eastAsia="en-GB"/>
              </w:rPr>
              <w:t>0</w:t>
            </w:r>
            <w:r w:rsidR="00DA0D64">
              <w:rPr>
                <w:rFonts w:ascii="Calibri" w:eastAsia="Times New Roman" w:hAnsi="Calibri" w:cs="Times New Roman"/>
                <w:color w:val="000000"/>
                <w:lang w:eastAsia="en-GB"/>
              </w:rPr>
              <w:t>272</w:t>
            </w:r>
            <w:r w:rsidRPr="00F77E5C">
              <w:rPr>
                <w:rFonts w:ascii="Calibri" w:eastAsia="Times New Roman" w:hAnsi="Calibri" w:cs="Times New Roman"/>
                <w:color w:val="000000"/>
                <w:lang w:eastAsia="en-GB"/>
              </w:rPr>
              <w:t>/20</w:t>
            </w:r>
            <w:r w:rsidR="00DA0D64">
              <w:rPr>
                <w:rFonts w:ascii="Calibri" w:eastAsia="Times New Roman" w:hAnsi="Calibri" w:cs="Times New Roman"/>
                <w:color w:val="000000"/>
                <w:lang w:eastAsia="en-GB"/>
              </w:rPr>
              <w:t>21</w:t>
            </w:r>
          </w:p>
        </w:tc>
        <w:tc>
          <w:tcPr>
            <w:tcW w:w="3710" w:type="dxa"/>
            <w:tcBorders>
              <w:top w:val="nil"/>
              <w:left w:val="nil"/>
              <w:bottom w:val="single" w:sz="4" w:space="0" w:color="000000"/>
              <w:right w:val="single" w:sz="4" w:space="0" w:color="000000"/>
            </w:tcBorders>
            <w:shd w:val="clear" w:color="auto" w:fill="auto"/>
            <w:vAlign w:val="bottom"/>
            <w:hideMark/>
          </w:tcPr>
          <w:p w14:paraId="7019BC3A" w14:textId="2B9B5BC1" w:rsidR="00F77E5C" w:rsidRPr="00F77E5C" w:rsidRDefault="00DA0D64" w:rsidP="00F77E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Land at Dosthill Road, Tamworth (Cottage Farm Road)</w:t>
            </w:r>
          </w:p>
        </w:tc>
        <w:tc>
          <w:tcPr>
            <w:tcW w:w="1755" w:type="dxa"/>
            <w:tcBorders>
              <w:top w:val="nil"/>
              <w:left w:val="nil"/>
              <w:bottom w:val="single" w:sz="4" w:space="0" w:color="000000"/>
              <w:right w:val="single" w:sz="4" w:space="0" w:color="000000"/>
            </w:tcBorders>
            <w:shd w:val="clear" w:color="auto" w:fill="auto"/>
            <w:vAlign w:val="bottom"/>
            <w:hideMark/>
          </w:tcPr>
          <w:p w14:paraId="2656F39C" w14:textId="3767D055" w:rsidR="00F77E5C" w:rsidRPr="00F77E5C" w:rsidRDefault="00E5592B" w:rsidP="002D7C76">
            <w:pPr>
              <w:spacing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Full</w:t>
            </w:r>
          </w:p>
        </w:tc>
        <w:tc>
          <w:tcPr>
            <w:tcW w:w="2254" w:type="dxa"/>
            <w:tcBorders>
              <w:top w:val="nil"/>
              <w:left w:val="nil"/>
              <w:bottom w:val="single" w:sz="4" w:space="0" w:color="000000"/>
              <w:right w:val="single" w:sz="8" w:space="0" w:color="auto"/>
            </w:tcBorders>
            <w:shd w:val="clear" w:color="auto" w:fill="auto"/>
            <w:vAlign w:val="center"/>
            <w:hideMark/>
          </w:tcPr>
          <w:p w14:paraId="70CC68EF" w14:textId="4D796525" w:rsidR="00F77E5C" w:rsidRPr="00F77E5C" w:rsidRDefault="00E5592B" w:rsidP="00F77E5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bl>
    <w:p w14:paraId="438B7F04" w14:textId="3340A629" w:rsidR="00D828F8" w:rsidRPr="00F77E5C" w:rsidRDefault="00024041" w:rsidP="00992DC1">
      <w:pPr>
        <w:pStyle w:val="Caption"/>
        <w:rPr>
          <w:b w:val="0"/>
          <w:i/>
          <w:color w:val="auto"/>
          <w:sz w:val="20"/>
          <w:szCs w:val="20"/>
        </w:rPr>
      </w:pPr>
      <w:bookmarkStart w:id="22" w:name="_Toc13586548"/>
      <w:bookmarkStart w:id="23" w:name="_Toc133397744"/>
      <w:r>
        <w:rPr>
          <w:b w:val="0"/>
          <w:i/>
          <w:color w:val="auto"/>
          <w:sz w:val="20"/>
          <w:szCs w:val="20"/>
        </w:rPr>
        <w:t xml:space="preserve">  </w:t>
      </w:r>
      <w:r w:rsidR="00992DC1" w:rsidRPr="00F77E5C">
        <w:rPr>
          <w:b w:val="0"/>
          <w:i/>
          <w:color w:val="auto"/>
          <w:sz w:val="20"/>
          <w:szCs w:val="20"/>
        </w:rPr>
        <w:t xml:space="preserve">Table </w:t>
      </w:r>
      <w:r w:rsidR="000C0FD0">
        <w:rPr>
          <w:b w:val="0"/>
          <w:i/>
          <w:color w:val="auto"/>
          <w:sz w:val="20"/>
          <w:szCs w:val="20"/>
        </w:rPr>
        <w:fldChar w:fldCharType="begin"/>
      </w:r>
      <w:r w:rsidR="000C0FD0">
        <w:rPr>
          <w:b w:val="0"/>
          <w:i/>
          <w:color w:val="auto"/>
          <w:sz w:val="20"/>
          <w:szCs w:val="20"/>
        </w:rPr>
        <w:instrText xml:space="preserve"> SEQ Table \* ARABIC </w:instrText>
      </w:r>
      <w:r w:rsidR="000C0FD0">
        <w:rPr>
          <w:b w:val="0"/>
          <w:i/>
          <w:color w:val="auto"/>
          <w:sz w:val="20"/>
          <w:szCs w:val="20"/>
        </w:rPr>
        <w:fldChar w:fldCharType="separate"/>
      </w:r>
      <w:r w:rsidR="00782072">
        <w:rPr>
          <w:b w:val="0"/>
          <w:i/>
          <w:noProof/>
          <w:color w:val="auto"/>
          <w:sz w:val="20"/>
          <w:szCs w:val="20"/>
        </w:rPr>
        <w:t>2</w:t>
      </w:r>
      <w:r w:rsidR="000C0FD0">
        <w:rPr>
          <w:b w:val="0"/>
          <w:i/>
          <w:color w:val="auto"/>
          <w:sz w:val="20"/>
          <w:szCs w:val="20"/>
        </w:rPr>
        <w:fldChar w:fldCharType="end"/>
      </w:r>
      <w:r w:rsidR="00992DC1" w:rsidRPr="00F77E5C">
        <w:rPr>
          <w:b w:val="0"/>
          <w:i/>
          <w:color w:val="auto"/>
          <w:sz w:val="20"/>
          <w:szCs w:val="20"/>
        </w:rPr>
        <w:t>:</w:t>
      </w:r>
      <w:r w:rsidR="00992DC1" w:rsidRPr="00F77E5C">
        <w:rPr>
          <w:b w:val="0"/>
          <w:i/>
          <w:noProof/>
          <w:color w:val="auto"/>
          <w:sz w:val="20"/>
          <w:szCs w:val="20"/>
        </w:rPr>
        <w:t xml:space="preserve"> Affordable Housing Permissions</w:t>
      </w:r>
      <w:bookmarkEnd w:id="22"/>
      <w:bookmarkEnd w:id="23"/>
    </w:p>
    <w:p w14:paraId="3422CF3F" w14:textId="5D9BA4FE" w:rsidR="00605952" w:rsidRDefault="00922A0D" w:rsidP="00B24540">
      <w:pPr>
        <w:pStyle w:val="NoSpacing"/>
        <w:jc w:val="both"/>
        <w:rPr>
          <w:sz w:val="26"/>
          <w:szCs w:val="26"/>
        </w:rPr>
      </w:pPr>
      <w:r>
        <w:rPr>
          <w:sz w:val="26"/>
          <w:szCs w:val="26"/>
        </w:rPr>
        <w:t>41</w:t>
      </w:r>
      <w:r w:rsidR="4FBDF4EF" w:rsidRPr="401D4F5D">
        <w:rPr>
          <w:sz w:val="26"/>
          <w:szCs w:val="26"/>
        </w:rPr>
        <w:t xml:space="preserve"> affo</w:t>
      </w:r>
      <w:r w:rsidR="550E2DBF" w:rsidRPr="401D4F5D">
        <w:rPr>
          <w:sz w:val="26"/>
          <w:szCs w:val="26"/>
        </w:rPr>
        <w:t>rdable dwellings were completed</w:t>
      </w:r>
      <w:r w:rsidR="00533479">
        <w:rPr>
          <w:sz w:val="26"/>
          <w:szCs w:val="26"/>
        </w:rPr>
        <w:t xml:space="preserve"> during the monitoring period</w:t>
      </w:r>
      <w:r w:rsidR="002F11BC">
        <w:rPr>
          <w:sz w:val="26"/>
          <w:szCs w:val="26"/>
        </w:rPr>
        <w:t xml:space="preserve"> from one permission</w:t>
      </w:r>
      <w:r w:rsidR="00155122">
        <w:rPr>
          <w:sz w:val="26"/>
          <w:szCs w:val="26"/>
        </w:rPr>
        <w:t xml:space="preserve"> (</w:t>
      </w:r>
      <w:r w:rsidR="00D94AE9">
        <w:rPr>
          <w:sz w:val="26"/>
          <w:szCs w:val="26"/>
        </w:rPr>
        <w:t>T</w:t>
      </w:r>
      <w:r w:rsidR="00155122">
        <w:rPr>
          <w:sz w:val="26"/>
          <w:szCs w:val="26"/>
        </w:rPr>
        <w:t xml:space="preserve">able </w:t>
      </w:r>
      <w:r w:rsidR="00155122" w:rsidRPr="005F7723">
        <w:rPr>
          <w:sz w:val="26"/>
          <w:szCs w:val="26"/>
        </w:rPr>
        <w:t>3)</w:t>
      </w:r>
      <w:r w:rsidR="002F11BC" w:rsidRPr="005F7723">
        <w:rPr>
          <w:sz w:val="26"/>
          <w:szCs w:val="26"/>
        </w:rPr>
        <w:t>. T</w:t>
      </w:r>
      <w:r w:rsidR="00A97602" w:rsidRPr="005F7723">
        <w:rPr>
          <w:sz w:val="26"/>
          <w:szCs w:val="26"/>
        </w:rPr>
        <w:t>h</w:t>
      </w:r>
      <w:r w:rsidR="00F62DC7" w:rsidRPr="005F7723">
        <w:rPr>
          <w:sz w:val="26"/>
          <w:szCs w:val="26"/>
        </w:rPr>
        <w:t>e</w:t>
      </w:r>
      <w:r w:rsidR="00A97602" w:rsidRPr="005F7723">
        <w:rPr>
          <w:sz w:val="26"/>
          <w:szCs w:val="26"/>
        </w:rPr>
        <w:t xml:space="preserve"> completion rate is </w:t>
      </w:r>
      <w:r w:rsidR="00552892" w:rsidRPr="005F7723">
        <w:rPr>
          <w:sz w:val="26"/>
          <w:szCs w:val="26"/>
        </w:rPr>
        <w:t>equivalent to the local plan</w:t>
      </w:r>
      <w:r w:rsidR="008D3AD4" w:rsidRPr="005F7723">
        <w:rPr>
          <w:sz w:val="26"/>
          <w:szCs w:val="26"/>
        </w:rPr>
        <w:t xml:space="preserve"> </w:t>
      </w:r>
      <w:r w:rsidR="00133466" w:rsidRPr="005F7723">
        <w:rPr>
          <w:sz w:val="26"/>
          <w:szCs w:val="26"/>
        </w:rPr>
        <w:t xml:space="preserve">target and the delivery of affordable housing </w:t>
      </w:r>
      <w:r w:rsidR="00C82610" w:rsidRPr="005F7723">
        <w:rPr>
          <w:sz w:val="26"/>
          <w:szCs w:val="26"/>
        </w:rPr>
        <w:t>surpasses the projected delivery at this time</w:t>
      </w:r>
      <w:r w:rsidR="0B76D379" w:rsidRPr="005F7723">
        <w:rPr>
          <w:sz w:val="26"/>
          <w:szCs w:val="26"/>
        </w:rPr>
        <w:t>.</w:t>
      </w:r>
    </w:p>
    <w:p w14:paraId="7EB425F0" w14:textId="77777777" w:rsidR="00B20B76" w:rsidRDefault="00B20B76" w:rsidP="00B24540">
      <w:pPr>
        <w:pStyle w:val="NoSpacing"/>
        <w:jc w:val="both"/>
        <w:rPr>
          <w:sz w:val="26"/>
          <w:szCs w:val="26"/>
        </w:rPr>
      </w:pPr>
    </w:p>
    <w:tbl>
      <w:tblPr>
        <w:tblW w:w="7520" w:type="dxa"/>
        <w:jc w:val="center"/>
        <w:tblCellMar>
          <w:top w:w="15" w:type="dxa"/>
          <w:bottom w:w="15" w:type="dxa"/>
        </w:tblCellMar>
        <w:tblLook w:val="04A0" w:firstRow="1" w:lastRow="0" w:firstColumn="1" w:lastColumn="0" w:noHBand="0" w:noVBand="1"/>
      </w:tblPr>
      <w:tblGrid>
        <w:gridCol w:w="1271"/>
        <w:gridCol w:w="4820"/>
        <w:gridCol w:w="1429"/>
      </w:tblGrid>
      <w:tr w:rsidR="00EB6A30" w:rsidRPr="00DE4D60" w14:paraId="28FAA3EC" w14:textId="77777777" w:rsidTr="00EB6A30">
        <w:trPr>
          <w:trHeight w:val="3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7EF19543" w14:textId="77777777" w:rsidR="00DE4D60" w:rsidRPr="00DE4D60" w:rsidRDefault="00DE4D60" w:rsidP="00DE4D60">
            <w:pPr>
              <w:spacing w:after="0" w:line="240" w:lineRule="auto"/>
              <w:jc w:val="center"/>
              <w:rPr>
                <w:rFonts w:ascii="Calibri" w:eastAsia="Times New Roman" w:hAnsi="Calibri" w:cs="Calibri"/>
                <w:b/>
                <w:bCs/>
                <w:lang w:eastAsia="en-GB"/>
              </w:rPr>
            </w:pPr>
            <w:r w:rsidRPr="00DE4D60">
              <w:rPr>
                <w:rFonts w:ascii="Calibri" w:eastAsia="Times New Roman" w:hAnsi="Calibri" w:cs="Calibri"/>
                <w:b/>
                <w:bCs/>
                <w:lang w:eastAsia="en-GB"/>
              </w:rPr>
              <w:t xml:space="preserve">Reference </w:t>
            </w:r>
          </w:p>
        </w:tc>
        <w:tc>
          <w:tcPr>
            <w:tcW w:w="482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14F82494" w14:textId="77777777" w:rsidR="00DE4D60" w:rsidRPr="00DE4D60" w:rsidRDefault="00DE4D60" w:rsidP="00DE4D60">
            <w:pPr>
              <w:spacing w:after="0" w:line="240" w:lineRule="auto"/>
              <w:jc w:val="center"/>
              <w:rPr>
                <w:rFonts w:ascii="Calibri" w:eastAsia="Times New Roman" w:hAnsi="Calibri" w:cs="Calibri"/>
                <w:b/>
                <w:bCs/>
                <w:lang w:eastAsia="en-GB"/>
              </w:rPr>
            </w:pPr>
            <w:r w:rsidRPr="00DE4D60">
              <w:rPr>
                <w:rFonts w:ascii="Calibri" w:eastAsia="Times New Roman" w:hAnsi="Calibri" w:cs="Calibri"/>
                <w:b/>
                <w:bCs/>
                <w:lang w:eastAsia="en-GB"/>
              </w:rPr>
              <w:t xml:space="preserve">Location </w:t>
            </w:r>
          </w:p>
        </w:tc>
        <w:tc>
          <w:tcPr>
            <w:tcW w:w="142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0E9FF159" w14:textId="77777777" w:rsidR="00DE4D60" w:rsidRPr="00DE4D60" w:rsidRDefault="00DE4D60" w:rsidP="00DE4D60">
            <w:pPr>
              <w:spacing w:after="0" w:line="240" w:lineRule="auto"/>
              <w:jc w:val="center"/>
              <w:rPr>
                <w:rFonts w:ascii="Calibri" w:eastAsia="Times New Roman" w:hAnsi="Calibri" w:cs="Calibri"/>
                <w:b/>
                <w:bCs/>
                <w:lang w:eastAsia="en-GB"/>
              </w:rPr>
            </w:pPr>
            <w:r w:rsidRPr="00DE4D60">
              <w:rPr>
                <w:rFonts w:ascii="Calibri" w:eastAsia="Times New Roman" w:hAnsi="Calibri" w:cs="Calibri"/>
                <w:b/>
                <w:bCs/>
                <w:lang w:eastAsia="en-GB"/>
              </w:rPr>
              <w:t>Affordable Completions</w:t>
            </w:r>
          </w:p>
        </w:tc>
      </w:tr>
      <w:tr w:rsidR="00DE4D60" w:rsidRPr="00DE4D60" w14:paraId="18E9F059" w14:textId="77777777" w:rsidTr="00B20B76">
        <w:trPr>
          <w:trHeight w:val="615"/>
          <w:jc w:val="center"/>
        </w:trPr>
        <w:tc>
          <w:tcPr>
            <w:tcW w:w="1271"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326F5E3D" w14:textId="77777777" w:rsidR="00DE4D60" w:rsidRPr="00DE4D60" w:rsidRDefault="00DE4D60" w:rsidP="00DE4D60">
            <w:pPr>
              <w:spacing w:after="0" w:line="240" w:lineRule="auto"/>
              <w:rPr>
                <w:rFonts w:ascii="Calibri" w:eastAsia="Times New Roman" w:hAnsi="Calibri" w:cs="Calibri"/>
                <w:color w:val="000000"/>
                <w:lang w:eastAsia="en-GB"/>
              </w:rPr>
            </w:pPr>
            <w:r w:rsidRPr="00DE4D60">
              <w:rPr>
                <w:rFonts w:ascii="Calibri" w:eastAsia="Times New Roman" w:hAnsi="Calibri" w:cs="Calibri"/>
                <w:color w:val="000000"/>
                <w:lang w:eastAsia="en-GB"/>
              </w:rPr>
              <w:t>0249/2018, 0433/2019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hideMark/>
          </w:tcPr>
          <w:p w14:paraId="757F2B44" w14:textId="77777777" w:rsidR="00DE4D60" w:rsidRPr="00DE4D60" w:rsidRDefault="00DE4D60" w:rsidP="00DE4D60">
            <w:pPr>
              <w:spacing w:after="0" w:line="240" w:lineRule="auto"/>
              <w:rPr>
                <w:rFonts w:ascii="Calibri" w:eastAsia="Times New Roman" w:hAnsi="Calibri" w:cs="Calibri"/>
                <w:color w:val="000000"/>
                <w:lang w:eastAsia="en-GB"/>
              </w:rPr>
            </w:pPr>
            <w:r w:rsidRPr="00DE4D60">
              <w:rPr>
                <w:rFonts w:ascii="Calibri" w:eastAsia="Times New Roman" w:hAnsi="Calibri" w:cs="Calibri"/>
                <w:color w:val="000000"/>
                <w:lang w:eastAsia="en-GB"/>
              </w:rPr>
              <w:t>Land at Dunstall Farm, Dunstall Lane, Tamworth, B78 3AX</w:t>
            </w:r>
          </w:p>
        </w:tc>
        <w:tc>
          <w:tcPr>
            <w:tcW w:w="1429" w:type="dxa"/>
            <w:tcBorders>
              <w:top w:val="single" w:sz="4" w:space="0" w:color="000000"/>
              <w:left w:val="single" w:sz="4" w:space="0" w:color="000000"/>
              <w:bottom w:val="single" w:sz="4" w:space="0" w:color="000000"/>
              <w:right w:val="single" w:sz="4" w:space="0" w:color="000000"/>
            </w:tcBorders>
            <w:noWrap/>
            <w:vAlign w:val="center"/>
            <w:hideMark/>
          </w:tcPr>
          <w:p w14:paraId="2AABB921" w14:textId="77CF11F5" w:rsidR="00DE4D60" w:rsidRPr="00DE4D60" w:rsidRDefault="00922A0D" w:rsidP="00DE4D6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41</w:t>
            </w:r>
          </w:p>
        </w:tc>
      </w:tr>
    </w:tbl>
    <w:p w14:paraId="0A07B920" w14:textId="19B67234" w:rsidR="0015736D" w:rsidRPr="009916A9" w:rsidRDefault="00992DC1" w:rsidP="005F7723">
      <w:pPr>
        <w:pStyle w:val="Caption"/>
        <w:ind w:firstLine="720"/>
        <w:rPr>
          <w:b w:val="0"/>
          <w:i/>
          <w:color w:val="auto"/>
          <w:sz w:val="20"/>
          <w:szCs w:val="20"/>
        </w:rPr>
      </w:pPr>
      <w:bookmarkStart w:id="24" w:name="_Toc13586549"/>
      <w:bookmarkStart w:id="25" w:name="_Toc133397745"/>
      <w:r w:rsidRPr="009916A9">
        <w:rPr>
          <w:b w:val="0"/>
          <w:i/>
          <w:color w:val="auto"/>
          <w:sz w:val="20"/>
          <w:szCs w:val="20"/>
        </w:rPr>
        <w:t xml:space="preserve">Table </w:t>
      </w:r>
      <w:r w:rsidR="000C0FD0">
        <w:rPr>
          <w:b w:val="0"/>
          <w:i/>
          <w:color w:val="auto"/>
          <w:sz w:val="20"/>
          <w:szCs w:val="20"/>
        </w:rPr>
        <w:fldChar w:fldCharType="begin"/>
      </w:r>
      <w:r w:rsidR="000C0FD0">
        <w:rPr>
          <w:b w:val="0"/>
          <w:i/>
          <w:color w:val="auto"/>
          <w:sz w:val="20"/>
          <w:szCs w:val="20"/>
        </w:rPr>
        <w:instrText xml:space="preserve"> SEQ Table \* ARABIC </w:instrText>
      </w:r>
      <w:r w:rsidR="000C0FD0">
        <w:rPr>
          <w:b w:val="0"/>
          <w:i/>
          <w:color w:val="auto"/>
          <w:sz w:val="20"/>
          <w:szCs w:val="20"/>
        </w:rPr>
        <w:fldChar w:fldCharType="separate"/>
      </w:r>
      <w:r w:rsidR="00782072">
        <w:rPr>
          <w:b w:val="0"/>
          <w:i/>
          <w:noProof/>
          <w:color w:val="auto"/>
          <w:sz w:val="20"/>
          <w:szCs w:val="20"/>
        </w:rPr>
        <w:t>3</w:t>
      </w:r>
      <w:r w:rsidR="000C0FD0">
        <w:rPr>
          <w:b w:val="0"/>
          <w:i/>
          <w:color w:val="auto"/>
          <w:sz w:val="20"/>
          <w:szCs w:val="20"/>
        </w:rPr>
        <w:fldChar w:fldCharType="end"/>
      </w:r>
      <w:r w:rsidRPr="009916A9">
        <w:rPr>
          <w:b w:val="0"/>
          <w:i/>
          <w:color w:val="auto"/>
          <w:sz w:val="20"/>
          <w:szCs w:val="20"/>
        </w:rPr>
        <w:t>: Affordable Completions</w:t>
      </w:r>
      <w:bookmarkEnd w:id="24"/>
      <w:bookmarkEnd w:id="25"/>
    </w:p>
    <w:p w14:paraId="6555C4E2" w14:textId="3F3029FD" w:rsidR="007E71D8" w:rsidRPr="00107B77" w:rsidRDefault="002F0CBE" w:rsidP="007E3254">
      <w:pPr>
        <w:pStyle w:val="NoSpacing"/>
        <w:jc w:val="center"/>
        <w:rPr>
          <w:sz w:val="26"/>
          <w:szCs w:val="26"/>
          <w:highlight w:val="yellow"/>
        </w:rPr>
      </w:pPr>
      <w:r>
        <w:rPr>
          <w:noProof/>
        </w:rPr>
        <w:lastRenderedPageBreak/>
        <w:drawing>
          <wp:inline distT="0" distB="0" distL="0" distR="0" wp14:anchorId="35C796B1" wp14:editId="40DF8C7C">
            <wp:extent cx="5524500" cy="2924175"/>
            <wp:effectExtent l="0" t="0" r="0" b="9525"/>
            <wp:docPr id="298132252" name="Chart 1" descr="Chart type: Line. 'Delivery', 'Projected delivery' by 'Field1'">
              <a:extLst xmlns:a="http://schemas.openxmlformats.org/drawingml/2006/main">
                <a:ext uri="{FF2B5EF4-FFF2-40B4-BE49-F238E27FC236}">
                  <a16:creationId xmlns:a16="http://schemas.microsoft.com/office/drawing/2014/main" id="{175681A4-A900-2873-39A0-C976B0ADC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D26A43" w14:textId="370D8CEE" w:rsidR="002F0CBE" w:rsidRPr="0082187F" w:rsidRDefault="008D20A5" w:rsidP="008D20A5">
      <w:pPr>
        <w:pStyle w:val="Caption"/>
        <w:rPr>
          <w:b w:val="0"/>
          <w:i/>
          <w:color w:val="auto"/>
          <w:sz w:val="20"/>
          <w:szCs w:val="20"/>
        </w:rPr>
      </w:pPr>
      <w:r>
        <w:rPr>
          <w:b w:val="0"/>
          <w:i/>
          <w:color w:val="auto"/>
          <w:sz w:val="20"/>
          <w:szCs w:val="20"/>
        </w:rPr>
        <w:t xml:space="preserve">   </w:t>
      </w:r>
      <w:r w:rsidR="002F0CBE" w:rsidRPr="0082187F">
        <w:rPr>
          <w:b w:val="0"/>
          <w:i/>
          <w:color w:val="auto"/>
          <w:sz w:val="20"/>
          <w:szCs w:val="20"/>
        </w:rPr>
        <w:t xml:space="preserve">Figure </w:t>
      </w:r>
      <w:r w:rsidR="002F0CBE">
        <w:rPr>
          <w:b w:val="0"/>
          <w:i/>
          <w:color w:val="auto"/>
          <w:sz w:val="20"/>
          <w:szCs w:val="20"/>
        </w:rPr>
        <w:t>3</w:t>
      </w:r>
      <w:r w:rsidR="002F0CBE" w:rsidRPr="0082187F">
        <w:rPr>
          <w:b w:val="0"/>
          <w:i/>
          <w:color w:val="auto"/>
          <w:sz w:val="20"/>
          <w:szCs w:val="20"/>
        </w:rPr>
        <w:t xml:space="preserve">: </w:t>
      </w:r>
      <w:r w:rsidR="002F0CBE">
        <w:rPr>
          <w:b w:val="0"/>
          <w:i/>
          <w:color w:val="auto"/>
          <w:sz w:val="20"/>
          <w:szCs w:val="20"/>
        </w:rPr>
        <w:t>Cumulative delivery of affor</w:t>
      </w:r>
      <w:r w:rsidR="00FD1CAA">
        <w:rPr>
          <w:b w:val="0"/>
          <w:i/>
          <w:color w:val="auto"/>
          <w:sz w:val="20"/>
          <w:szCs w:val="20"/>
        </w:rPr>
        <w:t>dable housing</w:t>
      </w:r>
    </w:p>
    <w:p w14:paraId="225E707E" w14:textId="77777777" w:rsidR="002F0CBE" w:rsidRDefault="002F0CBE" w:rsidP="00CC5DA0">
      <w:pPr>
        <w:pStyle w:val="Heading2"/>
      </w:pPr>
    </w:p>
    <w:p w14:paraId="266EFE26" w14:textId="4E18A428" w:rsidR="00AE3670" w:rsidRPr="006F649B" w:rsidRDefault="52581693" w:rsidP="00CC5DA0">
      <w:pPr>
        <w:pStyle w:val="Heading2"/>
      </w:pPr>
      <w:bookmarkStart w:id="26" w:name="_Toc141166600"/>
      <w:r>
        <w:t>Housing mix</w:t>
      </w:r>
      <w:bookmarkEnd w:id="26"/>
    </w:p>
    <w:p w14:paraId="0B18CECD" w14:textId="0A196B51" w:rsidR="005353AB" w:rsidRPr="006F649B" w:rsidRDefault="3AF72296" w:rsidP="00B24540">
      <w:pPr>
        <w:pStyle w:val="NoSpacing"/>
        <w:jc w:val="both"/>
        <w:rPr>
          <w:sz w:val="26"/>
          <w:szCs w:val="26"/>
        </w:rPr>
      </w:pPr>
      <w:r w:rsidRPr="401D4F5D">
        <w:rPr>
          <w:sz w:val="26"/>
          <w:szCs w:val="26"/>
        </w:rPr>
        <w:t>Local plan</w:t>
      </w:r>
      <w:r w:rsidR="06DEAFD0" w:rsidRPr="401D4F5D">
        <w:rPr>
          <w:sz w:val="26"/>
          <w:szCs w:val="26"/>
        </w:rPr>
        <w:t xml:space="preserve"> policy HG5 (Housing Mix) aims to secure housing sizes and types that reflect local need. The policy sets out the required housing size mix for new developments as follows:</w:t>
      </w:r>
    </w:p>
    <w:p w14:paraId="51C23D87" w14:textId="77777777" w:rsidR="005D4E16" w:rsidRPr="006F649B" w:rsidRDefault="005D4E16" w:rsidP="000B6D6A">
      <w:pPr>
        <w:pStyle w:val="NoSpacing"/>
        <w:rPr>
          <w:sz w:val="26"/>
          <w:szCs w:val="26"/>
        </w:rPr>
      </w:pPr>
    </w:p>
    <w:p w14:paraId="23BF4095" w14:textId="272F87E8" w:rsidR="005D4E16" w:rsidRPr="006F649B" w:rsidRDefault="005D4E16" w:rsidP="005D4E16">
      <w:pPr>
        <w:pStyle w:val="NoSpacing"/>
        <w:numPr>
          <w:ilvl w:val="0"/>
          <w:numId w:val="2"/>
        </w:numPr>
        <w:rPr>
          <w:sz w:val="26"/>
          <w:szCs w:val="26"/>
        </w:rPr>
      </w:pPr>
      <w:r w:rsidRPr="006F649B">
        <w:rPr>
          <w:sz w:val="26"/>
          <w:szCs w:val="26"/>
        </w:rPr>
        <w:t xml:space="preserve">4% - </w:t>
      </w:r>
      <w:r w:rsidR="007259D1" w:rsidRPr="006F649B">
        <w:rPr>
          <w:sz w:val="26"/>
          <w:szCs w:val="26"/>
        </w:rPr>
        <w:t>1-bedroom</w:t>
      </w:r>
      <w:r w:rsidRPr="006F649B">
        <w:rPr>
          <w:sz w:val="26"/>
          <w:szCs w:val="26"/>
        </w:rPr>
        <w:t xml:space="preserve"> units</w:t>
      </w:r>
    </w:p>
    <w:p w14:paraId="7B1D541D" w14:textId="1C614EE4" w:rsidR="005D4E16" w:rsidRPr="006F649B" w:rsidRDefault="005D4E16" w:rsidP="005D4E16">
      <w:pPr>
        <w:pStyle w:val="NoSpacing"/>
        <w:numPr>
          <w:ilvl w:val="0"/>
          <w:numId w:val="2"/>
        </w:numPr>
        <w:rPr>
          <w:sz w:val="26"/>
          <w:szCs w:val="26"/>
        </w:rPr>
      </w:pPr>
      <w:r w:rsidRPr="006F649B">
        <w:rPr>
          <w:sz w:val="26"/>
          <w:szCs w:val="26"/>
        </w:rPr>
        <w:t xml:space="preserve">42% - </w:t>
      </w:r>
      <w:r w:rsidR="007259D1" w:rsidRPr="006F649B">
        <w:rPr>
          <w:sz w:val="26"/>
          <w:szCs w:val="26"/>
        </w:rPr>
        <w:t>2-bedroom</w:t>
      </w:r>
      <w:r w:rsidRPr="006F649B">
        <w:rPr>
          <w:sz w:val="26"/>
          <w:szCs w:val="26"/>
        </w:rPr>
        <w:t xml:space="preserve"> units</w:t>
      </w:r>
    </w:p>
    <w:p w14:paraId="2F30E162" w14:textId="42DB5151" w:rsidR="005D4E16" w:rsidRPr="006F649B" w:rsidRDefault="005D4E16" w:rsidP="005D4E16">
      <w:pPr>
        <w:pStyle w:val="NoSpacing"/>
        <w:numPr>
          <w:ilvl w:val="0"/>
          <w:numId w:val="2"/>
        </w:numPr>
        <w:rPr>
          <w:sz w:val="26"/>
          <w:szCs w:val="26"/>
        </w:rPr>
      </w:pPr>
      <w:r w:rsidRPr="006F649B">
        <w:rPr>
          <w:sz w:val="26"/>
          <w:szCs w:val="26"/>
        </w:rPr>
        <w:t xml:space="preserve">39% - </w:t>
      </w:r>
      <w:r w:rsidR="007259D1" w:rsidRPr="006F649B">
        <w:rPr>
          <w:sz w:val="26"/>
          <w:szCs w:val="26"/>
        </w:rPr>
        <w:t>3-bedroom</w:t>
      </w:r>
      <w:r w:rsidRPr="006F649B">
        <w:rPr>
          <w:sz w:val="26"/>
          <w:szCs w:val="26"/>
        </w:rPr>
        <w:t xml:space="preserve"> units</w:t>
      </w:r>
    </w:p>
    <w:p w14:paraId="01434865" w14:textId="51ACFF6B" w:rsidR="005D4E16" w:rsidRPr="006F649B" w:rsidRDefault="005D4E16" w:rsidP="005D4E16">
      <w:pPr>
        <w:pStyle w:val="NoSpacing"/>
        <w:numPr>
          <w:ilvl w:val="0"/>
          <w:numId w:val="2"/>
        </w:numPr>
        <w:rPr>
          <w:sz w:val="26"/>
          <w:szCs w:val="26"/>
        </w:rPr>
      </w:pPr>
      <w:r w:rsidRPr="006F649B">
        <w:rPr>
          <w:sz w:val="26"/>
          <w:szCs w:val="26"/>
        </w:rPr>
        <w:t xml:space="preserve">15% - </w:t>
      </w:r>
      <w:r w:rsidR="007259D1" w:rsidRPr="006F649B">
        <w:rPr>
          <w:sz w:val="26"/>
          <w:szCs w:val="26"/>
        </w:rPr>
        <w:t>4 or more-bedroom</w:t>
      </w:r>
      <w:r w:rsidRPr="006F649B">
        <w:rPr>
          <w:sz w:val="26"/>
          <w:szCs w:val="26"/>
        </w:rPr>
        <w:t xml:space="preserve"> units</w:t>
      </w:r>
    </w:p>
    <w:p w14:paraId="0D3CEB5D" w14:textId="77777777" w:rsidR="00742055" w:rsidRPr="006F649B" w:rsidRDefault="00742055" w:rsidP="00742055">
      <w:pPr>
        <w:pStyle w:val="NoSpacing"/>
        <w:rPr>
          <w:sz w:val="26"/>
          <w:szCs w:val="26"/>
        </w:rPr>
      </w:pPr>
    </w:p>
    <w:p w14:paraId="751E09C1" w14:textId="21359FD6" w:rsidR="00821E65" w:rsidRPr="00107B77" w:rsidRDefault="00821E65" w:rsidP="00B24540">
      <w:pPr>
        <w:pStyle w:val="NoSpacing"/>
        <w:jc w:val="both"/>
        <w:rPr>
          <w:rStyle w:val="Emphasis"/>
          <w:i w:val="0"/>
          <w:iCs w:val="0"/>
          <w:sz w:val="26"/>
          <w:szCs w:val="26"/>
          <w:highlight w:val="yellow"/>
        </w:rPr>
      </w:pPr>
      <w:r w:rsidRPr="006F649B">
        <w:rPr>
          <w:sz w:val="26"/>
          <w:szCs w:val="26"/>
        </w:rPr>
        <w:t xml:space="preserve">Figure </w:t>
      </w:r>
      <w:r w:rsidR="00992DC1" w:rsidRPr="006F649B">
        <w:rPr>
          <w:sz w:val="26"/>
          <w:szCs w:val="26"/>
        </w:rPr>
        <w:t>3</w:t>
      </w:r>
      <w:r w:rsidRPr="006F649B">
        <w:rPr>
          <w:sz w:val="26"/>
          <w:szCs w:val="26"/>
        </w:rPr>
        <w:t xml:space="preserve"> below shows the size mix for dwellings granted planning permission during 20</w:t>
      </w:r>
      <w:r w:rsidR="0074697B">
        <w:rPr>
          <w:sz w:val="26"/>
          <w:szCs w:val="26"/>
        </w:rPr>
        <w:t>22</w:t>
      </w:r>
      <w:r w:rsidRPr="006F649B">
        <w:rPr>
          <w:sz w:val="26"/>
          <w:szCs w:val="26"/>
        </w:rPr>
        <w:t>/</w:t>
      </w:r>
      <w:r w:rsidR="0074697B">
        <w:rPr>
          <w:sz w:val="26"/>
          <w:szCs w:val="26"/>
        </w:rPr>
        <w:t>23</w:t>
      </w:r>
      <w:r w:rsidR="006F649B" w:rsidRPr="006F649B">
        <w:rPr>
          <w:sz w:val="26"/>
          <w:szCs w:val="26"/>
        </w:rPr>
        <w:t xml:space="preserve">. </w:t>
      </w:r>
      <w:r w:rsidRPr="006F649B">
        <w:rPr>
          <w:sz w:val="26"/>
          <w:szCs w:val="26"/>
        </w:rPr>
        <w:t xml:space="preserve">The mix is broadly in line with the requirements of </w:t>
      </w:r>
      <w:r w:rsidR="006F649B" w:rsidRPr="006F649B">
        <w:rPr>
          <w:sz w:val="26"/>
          <w:szCs w:val="26"/>
        </w:rPr>
        <w:t>policy HG5 with the majority (</w:t>
      </w:r>
      <w:r w:rsidR="007259D1">
        <w:rPr>
          <w:sz w:val="26"/>
          <w:szCs w:val="26"/>
        </w:rPr>
        <w:t>7</w:t>
      </w:r>
      <w:r w:rsidR="000C2003">
        <w:rPr>
          <w:sz w:val="26"/>
          <w:szCs w:val="26"/>
        </w:rPr>
        <w:t>7</w:t>
      </w:r>
      <w:r w:rsidRPr="006F649B">
        <w:rPr>
          <w:sz w:val="26"/>
          <w:szCs w:val="26"/>
        </w:rPr>
        <w:t>%) of approved units b</w:t>
      </w:r>
      <w:r w:rsidR="003432D5" w:rsidRPr="006F649B">
        <w:rPr>
          <w:sz w:val="26"/>
          <w:szCs w:val="26"/>
        </w:rPr>
        <w:t xml:space="preserve">eing </w:t>
      </w:r>
      <w:r w:rsidR="00A42A44" w:rsidRPr="006F649B">
        <w:rPr>
          <w:sz w:val="26"/>
          <w:szCs w:val="26"/>
        </w:rPr>
        <w:t>2- or 3-bedroom</w:t>
      </w:r>
      <w:r w:rsidR="003432D5" w:rsidRPr="006F649B">
        <w:rPr>
          <w:sz w:val="26"/>
          <w:szCs w:val="26"/>
        </w:rPr>
        <w:t xml:space="preserve"> properties.</w:t>
      </w:r>
      <w:r w:rsidR="00084EFC" w:rsidRPr="006F649B">
        <w:rPr>
          <w:sz w:val="26"/>
          <w:szCs w:val="26"/>
        </w:rPr>
        <w:t xml:space="preserve"> </w:t>
      </w:r>
      <w:r w:rsidR="003209DD" w:rsidRPr="006F649B">
        <w:rPr>
          <w:sz w:val="26"/>
          <w:szCs w:val="26"/>
        </w:rPr>
        <w:t>T</w:t>
      </w:r>
      <w:r w:rsidR="00084EFC" w:rsidRPr="006F649B">
        <w:rPr>
          <w:sz w:val="26"/>
          <w:szCs w:val="26"/>
        </w:rPr>
        <w:t xml:space="preserve">he </w:t>
      </w:r>
      <w:r w:rsidR="007C7698" w:rsidRPr="006F649B">
        <w:rPr>
          <w:sz w:val="26"/>
          <w:szCs w:val="26"/>
        </w:rPr>
        <w:t>proportion</w:t>
      </w:r>
      <w:r w:rsidR="00A950F3" w:rsidRPr="006F649B">
        <w:rPr>
          <w:sz w:val="26"/>
          <w:szCs w:val="26"/>
        </w:rPr>
        <w:t xml:space="preserve"> of </w:t>
      </w:r>
      <w:r w:rsidR="006F649B" w:rsidRPr="006F649B">
        <w:rPr>
          <w:sz w:val="26"/>
          <w:szCs w:val="26"/>
        </w:rPr>
        <w:t>2-</w:t>
      </w:r>
      <w:r w:rsidR="00A950F3" w:rsidRPr="006F649B">
        <w:rPr>
          <w:sz w:val="26"/>
          <w:szCs w:val="26"/>
        </w:rPr>
        <w:t xml:space="preserve">bed dwellings is </w:t>
      </w:r>
      <w:r w:rsidR="00FA4E7B">
        <w:rPr>
          <w:sz w:val="26"/>
          <w:szCs w:val="26"/>
        </w:rPr>
        <w:t>11</w:t>
      </w:r>
      <w:r w:rsidR="00A950F3" w:rsidRPr="006F649B">
        <w:rPr>
          <w:sz w:val="26"/>
          <w:szCs w:val="26"/>
        </w:rPr>
        <w:t xml:space="preserve">% </w:t>
      </w:r>
      <w:r w:rsidR="003209DD" w:rsidRPr="006F649B">
        <w:rPr>
          <w:sz w:val="26"/>
          <w:szCs w:val="26"/>
        </w:rPr>
        <w:t>lower than the target,</w:t>
      </w:r>
      <w:r w:rsidR="00A950F3" w:rsidRPr="006F649B">
        <w:rPr>
          <w:sz w:val="26"/>
          <w:szCs w:val="26"/>
        </w:rPr>
        <w:t xml:space="preserve"> and th</w:t>
      </w:r>
      <w:r w:rsidR="003209DD" w:rsidRPr="006F649B">
        <w:rPr>
          <w:sz w:val="26"/>
          <w:szCs w:val="26"/>
        </w:rPr>
        <w:t>is</w:t>
      </w:r>
      <w:r w:rsidR="00A950F3" w:rsidRPr="006F649B">
        <w:rPr>
          <w:sz w:val="26"/>
          <w:szCs w:val="26"/>
        </w:rPr>
        <w:t xml:space="preserve"> is</w:t>
      </w:r>
      <w:r w:rsidR="003209DD" w:rsidRPr="006F649B">
        <w:rPr>
          <w:sz w:val="26"/>
          <w:szCs w:val="26"/>
        </w:rPr>
        <w:t xml:space="preserve"> mostly made up by the proportion of </w:t>
      </w:r>
      <w:r w:rsidR="008B0BFD">
        <w:rPr>
          <w:sz w:val="26"/>
          <w:szCs w:val="26"/>
        </w:rPr>
        <w:t>3</w:t>
      </w:r>
      <w:r w:rsidR="006F649B" w:rsidRPr="006F649B">
        <w:rPr>
          <w:sz w:val="26"/>
          <w:szCs w:val="26"/>
        </w:rPr>
        <w:t>-</w:t>
      </w:r>
      <w:r w:rsidR="003209DD" w:rsidRPr="006F649B">
        <w:rPr>
          <w:sz w:val="26"/>
          <w:szCs w:val="26"/>
        </w:rPr>
        <w:t xml:space="preserve">bed properties being </w:t>
      </w:r>
      <w:r w:rsidR="005C54AE">
        <w:rPr>
          <w:sz w:val="26"/>
          <w:szCs w:val="26"/>
        </w:rPr>
        <w:t>8</w:t>
      </w:r>
      <w:r w:rsidR="003209DD" w:rsidRPr="006F649B">
        <w:rPr>
          <w:sz w:val="26"/>
          <w:szCs w:val="26"/>
        </w:rPr>
        <w:t>% higher than</w:t>
      </w:r>
      <w:r w:rsidR="00A950F3" w:rsidRPr="006F649B">
        <w:rPr>
          <w:sz w:val="26"/>
          <w:szCs w:val="26"/>
        </w:rPr>
        <w:t xml:space="preserve"> the policy </w:t>
      </w:r>
      <w:r w:rsidR="00A950F3" w:rsidRPr="00D219C0">
        <w:rPr>
          <w:sz w:val="26"/>
          <w:szCs w:val="26"/>
        </w:rPr>
        <w:t>requirement.</w:t>
      </w:r>
      <w:r w:rsidR="003209DD" w:rsidRPr="00D219C0">
        <w:rPr>
          <w:sz w:val="26"/>
          <w:szCs w:val="26"/>
        </w:rPr>
        <w:t xml:space="preserve"> This is not a signif</w:t>
      </w:r>
      <w:r w:rsidR="006F649B" w:rsidRPr="00D219C0">
        <w:rPr>
          <w:sz w:val="26"/>
          <w:szCs w:val="26"/>
        </w:rPr>
        <w:t>icant variation from the target and, from reviewing data from other recent monitoring periods, there does not appear to be</w:t>
      </w:r>
      <w:r w:rsidR="000360B3" w:rsidRPr="00D219C0">
        <w:rPr>
          <w:sz w:val="26"/>
          <w:szCs w:val="26"/>
        </w:rPr>
        <w:t xml:space="preserve"> a trend away from the required mix.</w:t>
      </w:r>
      <w:r w:rsidR="007C7698" w:rsidRPr="00D219C0">
        <w:rPr>
          <w:sz w:val="26"/>
          <w:szCs w:val="26"/>
        </w:rPr>
        <w:t xml:space="preserve"> </w:t>
      </w:r>
    </w:p>
    <w:p w14:paraId="1C691495" w14:textId="77777777" w:rsidR="00821E65" w:rsidRPr="00107B77" w:rsidRDefault="00821E65" w:rsidP="00742055">
      <w:pPr>
        <w:pStyle w:val="NoSpacing"/>
        <w:rPr>
          <w:sz w:val="26"/>
          <w:szCs w:val="26"/>
          <w:highlight w:val="yellow"/>
        </w:rPr>
      </w:pPr>
    </w:p>
    <w:p w14:paraId="495C4922" w14:textId="77777777" w:rsidR="007851E3" w:rsidRDefault="0043444A" w:rsidP="007851E3">
      <w:pPr>
        <w:pStyle w:val="NoSpacing"/>
        <w:keepNext/>
        <w:jc w:val="center"/>
        <w:rPr>
          <w:i/>
          <w:sz w:val="20"/>
          <w:szCs w:val="20"/>
        </w:rPr>
      </w:pPr>
      <w:r>
        <w:rPr>
          <w:noProof/>
        </w:rPr>
        <w:lastRenderedPageBreak/>
        <w:drawing>
          <wp:inline distT="0" distB="0" distL="0" distR="0" wp14:anchorId="29356CE9" wp14:editId="0C84F934">
            <wp:extent cx="4572000" cy="2613660"/>
            <wp:effectExtent l="0" t="0" r="0" b="15240"/>
            <wp:docPr id="1006902015" name="Chart 1" descr="pie chart of housing mix.Shows 7% 1 bed, 31% 2bed, 46% 3 bed and 16% 4 bed plus">
              <a:extLst xmlns:a="http://schemas.openxmlformats.org/drawingml/2006/main">
                <a:ext uri="{FF2B5EF4-FFF2-40B4-BE49-F238E27FC236}">
                  <a16:creationId xmlns:a16="http://schemas.microsoft.com/office/drawing/2014/main" id="{1AA9F866-D0E7-4DA2-8B69-B3E65CC0A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7" w:name="_Toc490820692"/>
      <w:bookmarkStart w:id="28" w:name="_Toc133397771"/>
    </w:p>
    <w:p w14:paraId="7BC9E156" w14:textId="761329B3" w:rsidR="00742055" w:rsidRPr="007851E3" w:rsidRDefault="00992DC1" w:rsidP="007851E3">
      <w:pPr>
        <w:pStyle w:val="NoSpacing"/>
        <w:keepNext/>
        <w:jc w:val="center"/>
        <w:rPr>
          <w:highlight w:val="yellow"/>
        </w:rPr>
      </w:pPr>
      <w:r w:rsidRPr="00D219C0">
        <w:rPr>
          <w:i/>
          <w:sz w:val="20"/>
          <w:szCs w:val="20"/>
        </w:rPr>
        <w:t xml:space="preserve">Figure </w:t>
      </w:r>
      <w:r w:rsidR="004E4DE3">
        <w:rPr>
          <w:i/>
          <w:sz w:val="20"/>
          <w:szCs w:val="20"/>
        </w:rPr>
        <w:t>4</w:t>
      </w:r>
      <w:r w:rsidRPr="00D219C0">
        <w:rPr>
          <w:i/>
          <w:sz w:val="20"/>
          <w:szCs w:val="20"/>
        </w:rPr>
        <w:t xml:space="preserve">: </w:t>
      </w:r>
      <w:bookmarkEnd w:id="27"/>
      <w:bookmarkEnd w:id="28"/>
      <w:r w:rsidR="007851E3">
        <w:rPr>
          <w:i/>
          <w:sz w:val="20"/>
          <w:szCs w:val="20"/>
        </w:rPr>
        <w:t>Percentages of housing mix by size</w:t>
      </w:r>
    </w:p>
    <w:p w14:paraId="0AD6895F" w14:textId="77777777" w:rsidR="00D219C0" w:rsidRDefault="00D219C0" w:rsidP="00430CF4">
      <w:pPr>
        <w:pStyle w:val="NoSpacing"/>
        <w:rPr>
          <w:highlight w:val="yellow"/>
        </w:rPr>
      </w:pPr>
    </w:p>
    <w:p w14:paraId="6360AEFE" w14:textId="77777777" w:rsidR="00882DBF" w:rsidRPr="00107B77" w:rsidRDefault="4E134B64" w:rsidP="00CC5DA0">
      <w:pPr>
        <w:pStyle w:val="Heading1"/>
        <w:rPr>
          <w:highlight w:val="yellow"/>
        </w:rPr>
      </w:pPr>
      <w:bookmarkStart w:id="29" w:name="_Toc141166601"/>
      <w:r>
        <w:t>Self-build and custom housebuilding</w:t>
      </w:r>
      <w:bookmarkEnd w:id="29"/>
    </w:p>
    <w:p w14:paraId="0F2629EE" w14:textId="77777777" w:rsidR="0091707A" w:rsidRPr="00107B77" w:rsidRDefault="0091707A" w:rsidP="00B24540">
      <w:pPr>
        <w:pStyle w:val="NoSpacing"/>
        <w:jc w:val="both"/>
        <w:rPr>
          <w:sz w:val="26"/>
          <w:szCs w:val="26"/>
          <w:highlight w:val="yellow"/>
        </w:rPr>
      </w:pPr>
    </w:p>
    <w:p w14:paraId="46235944" w14:textId="40217D85" w:rsidR="00882DBF" w:rsidRPr="002906A3" w:rsidRDefault="4E134B64" w:rsidP="00B24540">
      <w:pPr>
        <w:pStyle w:val="NoSpacing"/>
        <w:jc w:val="both"/>
        <w:rPr>
          <w:sz w:val="26"/>
          <w:szCs w:val="26"/>
        </w:rPr>
      </w:pPr>
      <w:r w:rsidRPr="401D4F5D">
        <w:rPr>
          <w:sz w:val="26"/>
          <w:szCs w:val="26"/>
        </w:rPr>
        <w:t xml:space="preserve">The </w:t>
      </w:r>
      <w:r w:rsidR="5D9535F3" w:rsidRPr="401D4F5D">
        <w:rPr>
          <w:sz w:val="26"/>
          <w:szCs w:val="26"/>
        </w:rPr>
        <w:t>NPPF</w:t>
      </w:r>
      <w:r w:rsidRPr="401D4F5D">
        <w:rPr>
          <w:sz w:val="26"/>
          <w:szCs w:val="26"/>
        </w:rPr>
        <w:t xml:space="preserve"> </w:t>
      </w:r>
      <w:r w:rsidR="5D9535F3" w:rsidRPr="401D4F5D">
        <w:rPr>
          <w:sz w:val="26"/>
          <w:szCs w:val="26"/>
        </w:rPr>
        <w:t>requires</w:t>
      </w:r>
      <w:r w:rsidRPr="401D4F5D">
        <w:rPr>
          <w:sz w:val="26"/>
          <w:szCs w:val="26"/>
        </w:rPr>
        <w:t xml:space="preserve"> </w:t>
      </w:r>
      <w:r w:rsidR="3AF72296" w:rsidRPr="401D4F5D">
        <w:rPr>
          <w:sz w:val="26"/>
          <w:szCs w:val="26"/>
        </w:rPr>
        <w:t>local plan</w:t>
      </w:r>
      <w:r w:rsidRPr="401D4F5D">
        <w:rPr>
          <w:sz w:val="26"/>
          <w:szCs w:val="26"/>
        </w:rPr>
        <w:t xml:space="preserve">ning authorities </w:t>
      </w:r>
      <w:r w:rsidR="5D9535F3" w:rsidRPr="401D4F5D">
        <w:rPr>
          <w:sz w:val="26"/>
          <w:szCs w:val="26"/>
        </w:rPr>
        <w:t>to</w:t>
      </w:r>
      <w:r w:rsidRPr="401D4F5D">
        <w:rPr>
          <w:sz w:val="26"/>
          <w:szCs w:val="26"/>
        </w:rPr>
        <w:t xml:space="preserve"> take account of the needs of different groups in the community including people wishing to build their own homes.</w:t>
      </w:r>
    </w:p>
    <w:p w14:paraId="55245C52" w14:textId="77777777" w:rsidR="00882DBF" w:rsidRPr="002906A3" w:rsidRDefault="00882DBF" w:rsidP="00882DBF">
      <w:pPr>
        <w:pStyle w:val="NoSpacing"/>
        <w:rPr>
          <w:sz w:val="26"/>
          <w:szCs w:val="26"/>
        </w:rPr>
      </w:pPr>
    </w:p>
    <w:p w14:paraId="6EF68EBA" w14:textId="77777777" w:rsidR="00882DBF" w:rsidRPr="002906A3" w:rsidRDefault="00882DBF" w:rsidP="009C155B">
      <w:pPr>
        <w:pStyle w:val="NoSpacing"/>
        <w:jc w:val="both"/>
        <w:rPr>
          <w:sz w:val="26"/>
          <w:szCs w:val="26"/>
        </w:rPr>
      </w:pPr>
      <w:r w:rsidRPr="002906A3">
        <w:rPr>
          <w:sz w:val="26"/>
          <w:szCs w:val="26"/>
        </w:rPr>
        <w:t>To this end, the Government enacted the Self-build and Custom Housebuilding Act 2015 (subsequently amended) which places a duty on certain public authorities to keep a Self-build and Custom Housebuilding register. The register is a list of people who are looking to acquire a serviced plot of land to bring forward self-build and custom housebuilding projects and the Regulations require the authority to ‘have regard’ to the register in carrying out planning and other functions.</w:t>
      </w:r>
    </w:p>
    <w:p w14:paraId="03CE66B7" w14:textId="77777777" w:rsidR="003624B7" w:rsidRPr="00107B77" w:rsidRDefault="003624B7" w:rsidP="009C155B">
      <w:pPr>
        <w:pStyle w:val="NoSpacing"/>
        <w:jc w:val="both"/>
        <w:rPr>
          <w:sz w:val="26"/>
          <w:szCs w:val="26"/>
          <w:highlight w:val="yellow"/>
        </w:rPr>
      </w:pPr>
    </w:p>
    <w:p w14:paraId="204738C0" w14:textId="77777777" w:rsidR="0095698A" w:rsidRPr="00343177" w:rsidRDefault="003624B7" w:rsidP="009C155B">
      <w:pPr>
        <w:pStyle w:val="NoSpacing"/>
        <w:jc w:val="both"/>
        <w:rPr>
          <w:sz w:val="26"/>
          <w:szCs w:val="26"/>
        </w:rPr>
      </w:pPr>
      <w:r w:rsidRPr="00343177">
        <w:rPr>
          <w:sz w:val="26"/>
          <w:szCs w:val="26"/>
        </w:rPr>
        <w:t xml:space="preserve">The Housing and Planning Act 2016 requires an authority to </w:t>
      </w:r>
      <w:r w:rsidRPr="00343177">
        <w:rPr>
          <w:i/>
          <w:sz w:val="26"/>
          <w:szCs w:val="26"/>
        </w:rPr>
        <w:t>‘give suitable development permission in respect of enough serviced plots of land to meet the demand for self-build and custom housebuilding in the authority’s area arising in each base period’.</w:t>
      </w:r>
      <w:r w:rsidRPr="00343177">
        <w:rPr>
          <w:sz w:val="26"/>
          <w:szCs w:val="26"/>
        </w:rPr>
        <w:t xml:space="preserve"> A ‘base period’ is a period of 12 months running from 01 November to the following 30 October.</w:t>
      </w:r>
    </w:p>
    <w:p w14:paraId="6758CF0D" w14:textId="77777777" w:rsidR="003624B7" w:rsidRPr="00107B77" w:rsidRDefault="003624B7" w:rsidP="009C155B">
      <w:pPr>
        <w:pStyle w:val="NoSpacing"/>
        <w:jc w:val="both"/>
        <w:rPr>
          <w:sz w:val="26"/>
          <w:szCs w:val="26"/>
          <w:highlight w:val="yellow"/>
        </w:rPr>
      </w:pPr>
    </w:p>
    <w:p w14:paraId="550C137E" w14:textId="2F1673DB" w:rsidR="0095698A" w:rsidRPr="00343177" w:rsidRDefault="00343177" w:rsidP="009C155B">
      <w:pPr>
        <w:pStyle w:val="NoSpacing"/>
        <w:jc w:val="both"/>
        <w:rPr>
          <w:sz w:val="26"/>
          <w:szCs w:val="26"/>
        </w:rPr>
      </w:pPr>
      <w:r w:rsidRPr="00343177">
        <w:rPr>
          <w:sz w:val="26"/>
          <w:szCs w:val="26"/>
        </w:rPr>
        <w:t xml:space="preserve">By the end of the monitoring period, </w:t>
      </w:r>
      <w:r w:rsidR="005A2434" w:rsidRPr="00343177">
        <w:rPr>
          <w:sz w:val="26"/>
          <w:szCs w:val="26"/>
        </w:rPr>
        <w:t>Tamworth’s Self-Build and Custom Housebuilding Register c</w:t>
      </w:r>
      <w:r w:rsidRPr="00343177">
        <w:rPr>
          <w:sz w:val="26"/>
          <w:szCs w:val="26"/>
        </w:rPr>
        <w:t>ontained</w:t>
      </w:r>
      <w:r w:rsidR="005A2434" w:rsidRPr="00343177">
        <w:rPr>
          <w:sz w:val="26"/>
          <w:szCs w:val="26"/>
        </w:rPr>
        <w:t xml:space="preserve"> </w:t>
      </w:r>
      <w:r w:rsidR="00BE4792">
        <w:rPr>
          <w:sz w:val="26"/>
          <w:szCs w:val="26"/>
        </w:rPr>
        <w:t>50</w:t>
      </w:r>
      <w:r w:rsidR="005A2434" w:rsidRPr="00343177">
        <w:rPr>
          <w:sz w:val="26"/>
          <w:szCs w:val="26"/>
        </w:rPr>
        <w:t xml:space="preserve"> entries</w:t>
      </w:r>
      <w:r w:rsidR="004B712F" w:rsidRPr="00343177">
        <w:rPr>
          <w:sz w:val="26"/>
          <w:szCs w:val="26"/>
        </w:rPr>
        <w:t xml:space="preserve">, all of which are individuals </w:t>
      </w:r>
      <w:r w:rsidR="003039A7" w:rsidRPr="00343177">
        <w:rPr>
          <w:sz w:val="26"/>
          <w:szCs w:val="26"/>
        </w:rPr>
        <w:t>who have expressed an interest in building a variety of different types and sizes of houses in the borough</w:t>
      </w:r>
      <w:r w:rsidR="004B712F" w:rsidRPr="00343177">
        <w:rPr>
          <w:sz w:val="26"/>
          <w:szCs w:val="26"/>
        </w:rPr>
        <w:t>.</w:t>
      </w:r>
    </w:p>
    <w:p w14:paraId="4B54A695" w14:textId="77777777" w:rsidR="00C63BA8" w:rsidRPr="00107B77" w:rsidRDefault="00C63BA8" w:rsidP="009C155B">
      <w:pPr>
        <w:pStyle w:val="NoSpacing"/>
        <w:jc w:val="both"/>
        <w:rPr>
          <w:sz w:val="26"/>
          <w:szCs w:val="26"/>
          <w:highlight w:val="yellow"/>
        </w:rPr>
      </w:pPr>
    </w:p>
    <w:p w14:paraId="09878BDB" w14:textId="5731936E" w:rsidR="008D0CA6" w:rsidRPr="00BE5F6A" w:rsidRDefault="00C63BA8" w:rsidP="009C155B">
      <w:pPr>
        <w:pStyle w:val="NoSpacing"/>
        <w:jc w:val="both"/>
        <w:rPr>
          <w:sz w:val="26"/>
          <w:szCs w:val="26"/>
        </w:rPr>
      </w:pPr>
      <w:r w:rsidRPr="00BE5F6A">
        <w:rPr>
          <w:sz w:val="26"/>
          <w:szCs w:val="26"/>
        </w:rPr>
        <w:t xml:space="preserve">During the last base period, </w:t>
      </w:r>
      <w:r w:rsidR="00176D6B">
        <w:rPr>
          <w:sz w:val="26"/>
          <w:szCs w:val="26"/>
        </w:rPr>
        <w:t>1</w:t>
      </w:r>
      <w:r w:rsidR="00D01A18">
        <w:rPr>
          <w:sz w:val="26"/>
          <w:szCs w:val="26"/>
        </w:rPr>
        <w:t>4</w:t>
      </w:r>
      <w:r w:rsidRPr="00BE5F6A">
        <w:rPr>
          <w:sz w:val="26"/>
          <w:szCs w:val="26"/>
        </w:rPr>
        <w:t xml:space="preserve"> individuals were added to the register. In 20</w:t>
      </w:r>
      <w:r w:rsidR="0016027A">
        <w:rPr>
          <w:sz w:val="26"/>
          <w:szCs w:val="26"/>
        </w:rPr>
        <w:t>22</w:t>
      </w:r>
      <w:r w:rsidRPr="00BE5F6A">
        <w:rPr>
          <w:sz w:val="26"/>
          <w:szCs w:val="26"/>
        </w:rPr>
        <w:t>/</w:t>
      </w:r>
      <w:r w:rsidR="0016027A">
        <w:rPr>
          <w:sz w:val="26"/>
          <w:szCs w:val="26"/>
        </w:rPr>
        <w:t>23</w:t>
      </w:r>
      <w:r w:rsidR="004B712F" w:rsidRPr="00BE5F6A">
        <w:rPr>
          <w:sz w:val="26"/>
          <w:szCs w:val="26"/>
        </w:rPr>
        <w:t xml:space="preserve">, </w:t>
      </w:r>
      <w:r w:rsidR="008D0CA6" w:rsidRPr="00BE5F6A">
        <w:rPr>
          <w:sz w:val="26"/>
          <w:szCs w:val="26"/>
        </w:rPr>
        <w:t xml:space="preserve">there were no planning permissions granted where the </w:t>
      </w:r>
      <w:r w:rsidR="00B2352B" w:rsidRPr="00BE5F6A">
        <w:rPr>
          <w:sz w:val="26"/>
          <w:szCs w:val="26"/>
        </w:rPr>
        <w:t>development was known to be for custom or self-build</w:t>
      </w:r>
      <w:r w:rsidR="00BE5F6A" w:rsidRPr="00BE5F6A">
        <w:rPr>
          <w:sz w:val="26"/>
          <w:szCs w:val="26"/>
        </w:rPr>
        <w:t xml:space="preserve"> dwellings, however there were </w:t>
      </w:r>
      <w:r w:rsidR="00E65D8B">
        <w:rPr>
          <w:sz w:val="26"/>
          <w:szCs w:val="26"/>
        </w:rPr>
        <w:t>2</w:t>
      </w:r>
      <w:r w:rsidR="00B2352B" w:rsidRPr="00BE5F6A">
        <w:rPr>
          <w:sz w:val="26"/>
          <w:szCs w:val="26"/>
        </w:rPr>
        <w:t xml:space="preserve"> permissions granted for developments of a single dwelling which could potentially have been for a custom or self-build project.</w:t>
      </w:r>
    </w:p>
    <w:p w14:paraId="300D0F5A" w14:textId="77777777" w:rsidR="00B2352B" w:rsidRPr="00BE5F6A" w:rsidRDefault="00B2352B" w:rsidP="009C155B">
      <w:pPr>
        <w:pStyle w:val="NoSpacing"/>
        <w:jc w:val="both"/>
        <w:rPr>
          <w:sz w:val="26"/>
          <w:szCs w:val="26"/>
        </w:rPr>
      </w:pPr>
    </w:p>
    <w:p w14:paraId="0012AB6B" w14:textId="5F838D31" w:rsidR="00B2352B" w:rsidRPr="00BE5F6A" w:rsidRDefault="00B2352B" w:rsidP="009C155B">
      <w:pPr>
        <w:pStyle w:val="NoSpacing"/>
        <w:jc w:val="both"/>
        <w:rPr>
          <w:sz w:val="26"/>
          <w:szCs w:val="26"/>
        </w:rPr>
      </w:pPr>
      <w:r w:rsidRPr="00BE5F6A">
        <w:rPr>
          <w:sz w:val="26"/>
          <w:szCs w:val="26"/>
        </w:rPr>
        <w:lastRenderedPageBreak/>
        <w:t xml:space="preserve">The Self-build and Custom Housebuilding (Time for Compliance and Fees) Regulations 2016 sets the time limit for delivery of the serviced plots identified in each base period as three years beginning immediately after the end of that base period. </w:t>
      </w:r>
      <w:r w:rsidRPr="000132DE">
        <w:rPr>
          <w:sz w:val="26"/>
          <w:szCs w:val="26"/>
        </w:rPr>
        <w:t>This means that, from 01 November 20</w:t>
      </w:r>
      <w:r w:rsidR="00872BDB" w:rsidRPr="000132DE">
        <w:rPr>
          <w:sz w:val="26"/>
          <w:szCs w:val="26"/>
        </w:rPr>
        <w:t>2</w:t>
      </w:r>
      <w:r w:rsidR="00D01A18">
        <w:rPr>
          <w:sz w:val="26"/>
          <w:szCs w:val="26"/>
        </w:rPr>
        <w:t>2</w:t>
      </w:r>
      <w:r w:rsidRPr="000132DE">
        <w:rPr>
          <w:sz w:val="26"/>
          <w:szCs w:val="26"/>
        </w:rPr>
        <w:t xml:space="preserve">, the Council has three years to deliver </w:t>
      </w:r>
      <w:r w:rsidR="00872BDB" w:rsidRPr="000132DE">
        <w:rPr>
          <w:sz w:val="26"/>
          <w:szCs w:val="26"/>
        </w:rPr>
        <w:t>1</w:t>
      </w:r>
      <w:r w:rsidR="00D01A18">
        <w:rPr>
          <w:sz w:val="26"/>
          <w:szCs w:val="26"/>
        </w:rPr>
        <w:t>4</w:t>
      </w:r>
      <w:r w:rsidRPr="000132DE">
        <w:rPr>
          <w:sz w:val="26"/>
          <w:szCs w:val="26"/>
        </w:rPr>
        <w:t xml:space="preserve"> plots to service the need identified by th</w:t>
      </w:r>
      <w:r w:rsidR="00BE5F6A" w:rsidRPr="000132DE">
        <w:rPr>
          <w:sz w:val="26"/>
          <w:szCs w:val="26"/>
        </w:rPr>
        <w:t>e register up to 30 October 20</w:t>
      </w:r>
      <w:r w:rsidR="00872BDB" w:rsidRPr="000132DE">
        <w:rPr>
          <w:sz w:val="26"/>
          <w:szCs w:val="26"/>
        </w:rPr>
        <w:t>2</w:t>
      </w:r>
      <w:r w:rsidR="0005580F">
        <w:rPr>
          <w:sz w:val="26"/>
          <w:szCs w:val="26"/>
        </w:rPr>
        <w:t>2</w:t>
      </w:r>
      <w:r w:rsidRPr="000132DE">
        <w:rPr>
          <w:sz w:val="26"/>
          <w:szCs w:val="26"/>
        </w:rPr>
        <w:t>.</w:t>
      </w:r>
    </w:p>
    <w:p w14:paraId="6746D26E" w14:textId="77777777" w:rsidR="008D0CA6" w:rsidRPr="00107B77" w:rsidRDefault="008D0CA6" w:rsidP="009C155B">
      <w:pPr>
        <w:pStyle w:val="NoSpacing"/>
        <w:jc w:val="both"/>
        <w:rPr>
          <w:sz w:val="26"/>
          <w:szCs w:val="26"/>
          <w:highlight w:val="yellow"/>
        </w:rPr>
      </w:pPr>
    </w:p>
    <w:p w14:paraId="69AFFB54" w14:textId="0859F3FE" w:rsidR="00437EC2" w:rsidRDefault="40312969" w:rsidP="00437EC2">
      <w:pPr>
        <w:pStyle w:val="NoSpacing"/>
        <w:jc w:val="both"/>
        <w:rPr>
          <w:b/>
          <w:bCs/>
          <w:sz w:val="48"/>
          <w:szCs w:val="48"/>
        </w:rPr>
      </w:pPr>
      <w:r w:rsidRPr="401D4F5D">
        <w:rPr>
          <w:sz w:val="26"/>
          <w:szCs w:val="26"/>
        </w:rPr>
        <w:t>The Council remain</w:t>
      </w:r>
      <w:r w:rsidR="4A5351E8" w:rsidRPr="401D4F5D">
        <w:rPr>
          <w:sz w:val="26"/>
          <w:szCs w:val="26"/>
        </w:rPr>
        <w:t>s</w:t>
      </w:r>
      <w:r w:rsidRPr="401D4F5D">
        <w:rPr>
          <w:sz w:val="26"/>
          <w:szCs w:val="26"/>
        </w:rPr>
        <w:t xml:space="preserve"> committed to exploring ways </w:t>
      </w:r>
      <w:r w:rsidR="7B6E97AF" w:rsidRPr="401D4F5D">
        <w:rPr>
          <w:sz w:val="26"/>
          <w:szCs w:val="26"/>
        </w:rPr>
        <w:t>in which</w:t>
      </w:r>
      <w:r w:rsidRPr="401D4F5D">
        <w:rPr>
          <w:sz w:val="26"/>
          <w:szCs w:val="26"/>
        </w:rPr>
        <w:t xml:space="preserve"> self-build and custom housebuilding </w:t>
      </w:r>
      <w:r w:rsidR="7B6E97AF" w:rsidRPr="401D4F5D">
        <w:rPr>
          <w:sz w:val="26"/>
          <w:szCs w:val="26"/>
        </w:rPr>
        <w:t>projects can be brought forward within the borough</w:t>
      </w:r>
      <w:r w:rsidR="4A5351E8" w:rsidRPr="401D4F5D">
        <w:rPr>
          <w:sz w:val="26"/>
          <w:szCs w:val="26"/>
        </w:rPr>
        <w:t xml:space="preserve"> where there is evidence of demand for such projects</w:t>
      </w:r>
      <w:r w:rsidR="7B6E97AF" w:rsidRPr="401D4F5D">
        <w:rPr>
          <w:sz w:val="26"/>
          <w:szCs w:val="26"/>
        </w:rPr>
        <w:t>.</w:t>
      </w:r>
      <w:r w:rsidRPr="401D4F5D">
        <w:rPr>
          <w:sz w:val="26"/>
          <w:szCs w:val="26"/>
        </w:rPr>
        <w:t xml:space="preserve"> </w:t>
      </w:r>
    </w:p>
    <w:p w14:paraId="4CB25578" w14:textId="77777777" w:rsidR="00280DA8" w:rsidRDefault="00280DA8" w:rsidP="00437EC2">
      <w:pPr>
        <w:pStyle w:val="NoSpacing"/>
        <w:jc w:val="both"/>
        <w:rPr>
          <w:b/>
          <w:bCs/>
          <w:sz w:val="48"/>
          <w:szCs w:val="48"/>
        </w:rPr>
      </w:pPr>
    </w:p>
    <w:p w14:paraId="5E134F66" w14:textId="47D24BBA" w:rsidR="000B6D6A" w:rsidRPr="00280DA8" w:rsidRDefault="2D1B4498" w:rsidP="00437EC2">
      <w:pPr>
        <w:pStyle w:val="NoSpacing"/>
        <w:jc w:val="both"/>
        <w:rPr>
          <w:b/>
          <w:bCs/>
          <w:sz w:val="36"/>
          <w:szCs w:val="36"/>
          <w:highlight w:val="yellow"/>
        </w:rPr>
      </w:pPr>
      <w:r w:rsidRPr="00280DA8">
        <w:rPr>
          <w:b/>
          <w:bCs/>
          <w:sz w:val="36"/>
          <w:szCs w:val="36"/>
        </w:rPr>
        <w:t>Employment land</w:t>
      </w:r>
      <w:r w:rsidR="00377A9C" w:rsidRPr="00280DA8">
        <w:rPr>
          <w:b/>
          <w:bCs/>
          <w:sz w:val="36"/>
          <w:szCs w:val="36"/>
        </w:rPr>
        <w:t xml:space="preserve"> </w:t>
      </w:r>
    </w:p>
    <w:p w14:paraId="34595C8D" w14:textId="0539F189" w:rsidR="00F1335F" w:rsidRPr="00A41CF3" w:rsidRDefault="3AF72296" w:rsidP="401D4F5D">
      <w:pPr>
        <w:pStyle w:val="Heading2"/>
      </w:pPr>
      <w:bookmarkStart w:id="30" w:name="_Toc141166602"/>
      <w:r>
        <w:t>Local plan</w:t>
      </w:r>
      <w:r w:rsidR="7C707255">
        <w:t xml:space="preserve"> requirement</w:t>
      </w:r>
      <w:bookmarkEnd w:id="30"/>
    </w:p>
    <w:p w14:paraId="1B9510BA" w14:textId="0CC1554D" w:rsidR="00121159" w:rsidRDefault="6B612163" w:rsidP="009C155B">
      <w:pPr>
        <w:pStyle w:val="NoSpacing"/>
        <w:jc w:val="both"/>
        <w:rPr>
          <w:i/>
          <w:iCs/>
          <w:sz w:val="26"/>
          <w:szCs w:val="26"/>
        </w:rPr>
      </w:pPr>
      <w:r w:rsidRPr="401D4F5D">
        <w:rPr>
          <w:sz w:val="26"/>
          <w:szCs w:val="26"/>
        </w:rPr>
        <w:t xml:space="preserve">The </w:t>
      </w:r>
      <w:r w:rsidR="3AF72296" w:rsidRPr="401D4F5D">
        <w:rPr>
          <w:sz w:val="26"/>
          <w:szCs w:val="26"/>
        </w:rPr>
        <w:t>local plan</w:t>
      </w:r>
      <w:r w:rsidRPr="401D4F5D">
        <w:rPr>
          <w:sz w:val="26"/>
          <w:szCs w:val="26"/>
        </w:rPr>
        <w:t xml:space="preserve"> states that </w:t>
      </w:r>
      <w:r w:rsidRPr="401D4F5D">
        <w:rPr>
          <w:i/>
          <w:iCs/>
          <w:sz w:val="26"/>
          <w:szCs w:val="26"/>
        </w:rPr>
        <w:t>‘[allocations will be promoted within Tamworth to support the delivery of at least 18 hectares (ha) of B1 (</w:t>
      </w:r>
      <w:proofErr w:type="spellStart"/>
      <w:r w:rsidRPr="401D4F5D">
        <w:rPr>
          <w:i/>
          <w:iCs/>
          <w:sz w:val="26"/>
          <w:szCs w:val="26"/>
        </w:rPr>
        <w:t>b,c</w:t>
      </w:r>
      <w:proofErr w:type="spellEnd"/>
      <w:r w:rsidRPr="401D4F5D">
        <w:rPr>
          <w:i/>
          <w:iCs/>
          <w:sz w:val="26"/>
          <w:szCs w:val="26"/>
        </w:rPr>
        <w:t xml:space="preserve">), B2 and B8 employment land to </w:t>
      </w:r>
      <w:r w:rsidR="2117694B" w:rsidRPr="401D4F5D">
        <w:rPr>
          <w:i/>
          <w:iCs/>
          <w:sz w:val="26"/>
          <w:szCs w:val="26"/>
        </w:rPr>
        <w:t>meet an overall minimum need of 32ha. A further minimum 14ha of employment land will be required outside of the Borough within locations which assist the delivery of Tamworth’s strategy and those of its neighbours.’</w:t>
      </w:r>
    </w:p>
    <w:p w14:paraId="36BD90FE" w14:textId="77777777" w:rsidR="008C770F" w:rsidRPr="008C770F" w:rsidRDefault="008C770F" w:rsidP="009C155B">
      <w:pPr>
        <w:pStyle w:val="NoSpacing"/>
        <w:jc w:val="both"/>
        <w:rPr>
          <w:i/>
          <w:iCs/>
          <w:sz w:val="26"/>
          <w:szCs w:val="26"/>
        </w:rPr>
      </w:pPr>
    </w:p>
    <w:p w14:paraId="1F7C5362" w14:textId="315DD95B" w:rsidR="00C52DA6" w:rsidRPr="00C52DA6" w:rsidRDefault="005F0B84" w:rsidP="009C155B">
      <w:pPr>
        <w:pStyle w:val="NoSpacing"/>
        <w:jc w:val="both"/>
        <w:rPr>
          <w:sz w:val="26"/>
          <w:szCs w:val="26"/>
        </w:rPr>
      </w:pPr>
      <w:r>
        <w:rPr>
          <w:sz w:val="26"/>
          <w:szCs w:val="26"/>
        </w:rPr>
        <w:t xml:space="preserve">Since the </w:t>
      </w:r>
      <w:r w:rsidR="003725A3">
        <w:rPr>
          <w:sz w:val="26"/>
          <w:szCs w:val="26"/>
        </w:rPr>
        <w:t xml:space="preserve">Tamworth </w:t>
      </w:r>
      <w:r>
        <w:rPr>
          <w:sz w:val="26"/>
          <w:szCs w:val="26"/>
        </w:rPr>
        <w:t xml:space="preserve">local plan was adopted in February 2016 </w:t>
      </w:r>
      <w:r w:rsidR="007D1D0A">
        <w:rPr>
          <w:sz w:val="26"/>
          <w:szCs w:val="26"/>
        </w:rPr>
        <w:t xml:space="preserve">The Town and Country Planning (Use Classes) (Amendment) (England) Regulations 2020 has revised the </w:t>
      </w:r>
      <w:r w:rsidR="003725A3">
        <w:rPr>
          <w:sz w:val="26"/>
          <w:szCs w:val="26"/>
        </w:rPr>
        <w:t>Use Classes Order</w:t>
      </w:r>
      <w:r w:rsidR="003725A3">
        <w:rPr>
          <w:rStyle w:val="FootnoteReference"/>
          <w:sz w:val="26"/>
          <w:szCs w:val="26"/>
        </w:rPr>
        <w:footnoteReference w:id="7"/>
      </w:r>
      <w:r w:rsidR="003725A3">
        <w:rPr>
          <w:sz w:val="26"/>
          <w:szCs w:val="26"/>
        </w:rPr>
        <w:t xml:space="preserve">. </w:t>
      </w:r>
      <w:r w:rsidR="0043281A">
        <w:rPr>
          <w:sz w:val="26"/>
          <w:szCs w:val="26"/>
        </w:rPr>
        <w:t xml:space="preserve"> </w:t>
      </w:r>
      <w:r w:rsidR="008C770F">
        <w:rPr>
          <w:sz w:val="26"/>
          <w:szCs w:val="26"/>
        </w:rPr>
        <w:t>B1 business use classes have been reformed and are incorporated into Class E ‘Commercial, business and service’.</w:t>
      </w:r>
      <w:r w:rsidR="000B1AA6">
        <w:rPr>
          <w:sz w:val="26"/>
          <w:szCs w:val="26"/>
        </w:rPr>
        <w:t xml:space="preserve"> </w:t>
      </w:r>
      <w:r w:rsidR="00335E32">
        <w:rPr>
          <w:sz w:val="26"/>
          <w:szCs w:val="26"/>
        </w:rPr>
        <w:t xml:space="preserve">This </w:t>
      </w:r>
      <w:r w:rsidR="00971FB0">
        <w:rPr>
          <w:sz w:val="26"/>
          <w:szCs w:val="26"/>
        </w:rPr>
        <w:t>revision</w:t>
      </w:r>
      <w:r w:rsidR="00335E32">
        <w:rPr>
          <w:sz w:val="26"/>
          <w:szCs w:val="26"/>
        </w:rPr>
        <w:t xml:space="preserve"> to the Use Classes Order has not impacted on the statistics for the monitoring period </w:t>
      </w:r>
      <w:r w:rsidR="009D3F6B">
        <w:rPr>
          <w:sz w:val="26"/>
          <w:szCs w:val="26"/>
        </w:rPr>
        <w:t>2022/23</w:t>
      </w:r>
      <w:r w:rsidR="009670FF">
        <w:rPr>
          <w:sz w:val="26"/>
          <w:szCs w:val="26"/>
        </w:rPr>
        <w:t xml:space="preserve">. </w:t>
      </w:r>
      <w:r w:rsidR="009D05D3">
        <w:rPr>
          <w:sz w:val="26"/>
          <w:szCs w:val="26"/>
        </w:rPr>
        <w:t xml:space="preserve">A single application was granted in 2022/23 which </w:t>
      </w:r>
      <w:r w:rsidR="006C24C8">
        <w:rPr>
          <w:sz w:val="26"/>
          <w:szCs w:val="26"/>
        </w:rPr>
        <w:t xml:space="preserve">was submitted before the transition period of the </w:t>
      </w:r>
      <w:r w:rsidR="002239DE">
        <w:rPr>
          <w:sz w:val="26"/>
          <w:szCs w:val="26"/>
        </w:rPr>
        <w:t>amendment;</w:t>
      </w:r>
      <w:r w:rsidR="00CE626C">
        <w:rPr>
          <w:sz w:val="26"/>
          <w:szCs w:val="26"/>
        </w:rPr>
        <w:t xml:space="preserve"> therefore, this </w:t>
      </w:r>
      <w:r w:rsidR="00A00BD6">
        <w:rPr>
          <w:sz w:val="26"/>
          <w:szCs w:val="26"/>
        </w:rPr>
        <w:t>application</w:t>
      </w:r>
      <w:r w:rsidR="00CE626C">
        <w:rPr>
          <w:sz w:val="26"/>
          <w:szCs w:val="26"/>
        </w:rPr>
        <w:t xml:space="preserve"> remains as a B1a use</w:t>
      </w:r>
      <w:r w:rsidR="002239DE">
        <w:rPr>
          <w:rStyle w:val="FootnoteReference"/>
          <w:sz w:val="26"/>
          <w:szCs w:val="26"/>
        </w:rPr>
        <w:footnoteReference w:id="8"/>
      </w:r>
      <w:r w:rsidR="00CE626C">
        <w:rPr>
          <w:sz w:val="26"/>
          <w:szCs w:val="26"/>
        </w:rPr>
        <w:t xml:space="preserve">. </w:t>
      </w:r>
    </w:p>
    <w:p w14:paraId="34E78EB7" w14:textId="77777777" w:rsidR="00B600EF" w:rsidRPr="00107B77" w:rsidRDefault="00B600EF" w:rsidP="009C155B">
      <w:pPr>
        <w:pStyle w:val="NoSpacing"/>
        <w:jc w:val="both"/>
        <w:rPr>
          <w:b/>
          <w:sz w:val="26"/>
          <w:szCs w:val="26"/>
          <w:highlight w:val="yellow"/>
        </w:rPr>
      </w:pPr>
    </w:p>
    <w:p w14:paraId="325AD1D5" w14:textId="77777777" w:rsidR="00B600EF" w:rsidRPr="00A41CF3" w:rsidRDefault="6964E03D" w:rsidP="009C155B">
      <w:pPr>
        <w:pStyle w:val="Heading2"/>
        <w:jc w:val="both"/>
      </w:pPr>
      <w:bookmarkStart w:id="31" w:name="_Toc141166603"/>
      <w:r>
        <w:t>Allocated sites</w:t>
      </w:r>
      <w:bookmarkEnd w:id="31"/>
    </w:p>
    <w:p w14:paraId="61309991" w14:textId="275567AF" w:rsidR="00B600EF" w:rsidRPr="00A41CF3" w:rsidRDefault="00B600EF" w:rsidP="009C155B">
      <w:pPr>
        <w:pStyle w:val="NoSpacing"/>
        <w:jc w:val="both"/>
        <w:rPr>
          <w:sz w:val="26"/>
          <w:szCs w:val="26"/>
        </w:rPr>
      </w:pPr>
      <w:r w:rsidRPr="00A41CF3">
        <w:rPr>
          <w:sz w:val="26"/>
          <w:szCs w:val="26"/>
        </w:rPr>
        <w:t xml:space="preserve">Policy EC6 allocates eight sites to provide 18ha of employment land within Tamworth. </w:t>
      </w:r>
      <w:r w:rsidR="00D74180" w:rsidRPr="00A8162E">
        <w:rPr>
          <w:sz w:val="26"/>
          <w:szCs w:val="26"/>
        </w:rPr>
        <w:t>During 20</w:t>
      </w:r>
      <w:r w:rsidR="00D74180">
        <w:rPr>
          <w:sz w:val="26"/>
          <w:szCs w:val="26"/>
        </w:rPr>
        <w:t>22</w:t>
      </w:r>
      <w:r w:rsidR="00D74180" w:rsidRPr="00A8162E">
        <w:rPr>
          <w:sz w:val="26"/>
          <w:szCs w:val="26"/>
        </w:rPr>
        <w:t>/</w:t>
      </w:r>
      <w:r w:rsidR="00D74180">
        <w:rPr>
          <w:sz w:val="26"/>
          <w:szCs w:val="26"/>
        </w:rPr>
        <w:t>23</w:t>
      </w:r>
      <w:r w:rsidR="00D74180" w:rsidRPr="00A8162E">
        <w:rPr>
          <w:sz w:val="26"/>
          <w:szCs w:val="26"/>
        </w:rPr>
        <w:t xml:space="preserve">, </w:t>
      </w:r>
      <w:r w:rsidR="00D74180">
        <w:rPr>
          <w:sz w:val="26"/>
          <w:szCs w:val="26"/>
        </w:rPr>
        <w:t xml:space="preserve">no planning permissions were granted for development on the allocated employment land sites. </w:t>
      </w:r>
      <w:r w:rsidRPr="00A41CF3">
        <w:rPr>
          <w:sz w:val="26"/>
          <w:szCs w:val="26"/>
        </w:rPr>
        <w:t xml:space="preserve">Progress on the development of the allocated sites is shown in </w:t>
      </w:r>
      <w:r w:rsidR="00521BB2">
        <w:rPr>
          <w:sz w:val="26"/>
          <w:szCs w:val="26"/>
        </w:rPr>
        <w:t>T</w:t>
      </w:r>
      <w:r w:rsidRPr="00A41CF3">
        <w:rPr>
          <w:sz w:val="26"/>
          <w:szCs w:val="26"/>
        </w:rPr>
        <w:t xml:space="preserve">able </w:t>
      </w:r>
      <w:r w:rsidR="00711D04" w:rsidRPr="00A41CF3">
        <w:rPr>
          <w:sz w:val="26"/>
          <w:szCs w:val="26"/>
        </w:rPr>
        <w:t>4</w:t>
      </w:r>
      <w:r w:rsidRPr="00A41CF3">
        <w:rPr>
          <w:sz w:val="26"/>
          <w:szCs w:val="26"/>
        </w:rPr>
        <w:t xml:space="preserve"> below.</w:t>
      </w:r>
    </w:p>
    <w:p w14:paraId="20802A91" w14:textId="77777777" w:rsidR="00B600EF" w:rsidRPr="00107B77" w:rsidRDefault="00B600EF" w:rsidP="00B600EF">
      <w:pPr>
        <w:pStyle w:val="NoSpacing"/>
        <w:rPr>
          <w:sz w:val="26"/>
          <w:szCs w:val="26"/>
          <w:highlight w:val="yellow"/>
        </w:rPr>
      </w:pPr>
    </w:p>
    <w:tbl>
      <w:tblPr>
        <w:tblW w:w="9080" w:type="dxa"/>
        <w:tblInd w:w="93" w:type="dxa"/>
        <w:tblLook w:val="04A0" w:firstRow="1" w:lastRow="0" w:firstColumn="1" w:lastColumn="0" w:noHBand="0" w:noVBand="1"/>
      </w:tblPr>
      <w:tblGrid>
        <w:gridCol w:w="820"/>
        <w:gridCol w:w="2980"/>
        <w:gridCol w:w="920"/>
        <w:gridCol w:w="4360"/>
      </w:tblGrid>
      <w:tr w:rsidR="001B2581" w:rsidRPr="00107B77" w14:paraId="321566CA" w14:textId="77777777" w:rsidTr="001B2581">
        <w:trPr>
          <w:trHeight w:val="615"/>
        </w:trPr>
        <w:tc>
          <w:tcPr>
            <w:tcW w:w="820" w:type="dxa"/>
            <w:tcBorders>
              <w:top w:val="single" w:sz="12" w:space="0" w:color="auto"/>
              <w:left w:val="single" w:sz="12" w:space="0" w:color="auto"/>
              <w:bottom w:val="single" w:sz="4" w:space="0" w:color="auto"/>
              <w:right w:val="single" w:sz="4" w:space="0" w:color="auto"/>
            </w:tcBorders>
            <w:shd w:val="clear" w:color="000000" w:fill="B8CCE4"/>
            <w:vAlign w:val="center"/>
            <w:hideMark/>
          </w:tcPr>
          <w:p w14:paraId="6FEDBCD0" w14:textId="77777777" w:rsidR="001B2581" w:rsidRPr="002906A3" w:rsidRDefault="001B2581" w:rsidP="001B2581">
            <w:pPr>
              <w:spacing w:after="0" w:line="240" w:lineRule="auto"/>
              <w:jc w:val="center"/>
              <w:rPr>
                <w:rFonts w:ascii="Calibri" w:eastAsia="Times New Roman" w:hAnsi="Calibri" w:cs="Times New Roman"/>
                <w:b/>
                <w:bCs/>
                <w:color w:val="000000"/>
                <w:lang w:eastAsia="en-GB"/>
              </w:rPr>
            </w:pPr>
            <w:r w:rsidRPr="002906A3">
              <w:rPr>
                <w:rFonts w:ascii="Calibri" w:eastAsia="Times New Roman" w:hAnsi="Calibri" w:cs="Times New Roman"/>
                <w:b/>
                <w:bCs/>
                <w:color w:val="000000"/>
                <w:lang w:eastAsia="en-GB"/>
              </w:rPr>
              <w:t>Site Ref</w:t>
            </w:r>
          </w:p>
        </w:tc>
        <w:tc>
          <w:tcPr>
            <w:tcW w:w="2980" w:type="dxa"/>
            <w:tcBorders>
              <w:top w:val="single" w:sz="12" w:space="0" w:color="auto"/>
              <w:left w:val="nil"/>
              <w:bottom w:val="single" w:sz="4" w:space="0" w:color="auto"/>
              <w:right w:val="single" w:sz="4" w:space="0" w:color="auto"/>
            </w:tcBorders>
            <w:shd w:val="clear" w:color="000000" w:fill="B8CCE4"/>
            <w:vAlign w:val="center"/>
            <w:hideMark/>
          </w:tcPr>
          <w:p w14:paraId="0E7163FD" w14:textId="77777777" w:rsidR="001B2581" w:rsidRPr="002906A3" w:rsidRDefault="001B2581" w:rsidP="001B2581">
            <w:pPr>
              <w:spacing w:after="0" w:line="240" w:lineRule="auto"/>
              <w:jc w:val="center"/>
              <w:rPr>
                <w:rFonts w:ascii="Calibri" w:eastAsia="Times New Roman" w:hAnsi="Calibri" w:cs="Times New Roman"/>
                <w:b/>
                <w:bCs/>
                <w:color w:val="000000"/>
                <w:lang w:eastAsia="en-GB"/>
              </w:rPr>
            </w:pPr>
            <w:r w:rsidRPr="002906A3">
              <w:rPr>
                <w:rFonts w:ascii="Calibri" w:eastAsia="Times New Roman" w:hAnsi="Calibri" w:cs="Times New Roman"/>
                <w:b/>
                <w:bCs/>
                <w:color w:val="000000"/>
                <w:lang w:eastAsia="en-GB"/>
              </w:rPr>
              <w:t>Site Name</w:t>
            </w:r>
          </w:p>
        </w:tc>
        <w:tc>
          <w:tcPr>
            <w:tcW w:w="920" w:type="dxa"/>
            <w:tcBorders>
              <w:top w:val="single" w:sz="12" w:space="0" w:color="auto"/>
              <w:left w:val="nil"/>
              <w:bottom w:val="single" w:sz="4" w:space="0" w:color="auto"/>
              <w:right w:val="single" w:sz="4" w:space="0" w:color="auto"/>
            </w:tcBorders>
            <w:shd w:val="clear" w:color="000000" w:fill="B8CCE4"/>
            <w:vAlign w:val="center"/>
            <w:hideMark/>
          </w:tcPr>
          <w:p w14:paraId="2F158E18" w14:textId="77777777" w:rsidR="001B2581" w:rsidRPr="002906A3" w:rsidRDefault="001B2581" w:rsidP="001B2581">
            <w:pPr>
              <w:spacing w:after="0" w:line="240" w:lineRule="auto"/>
              <w:jc w:val="center"/>
              <w:rPr>
                <w:rFonts w:ascii="Calibri" w:eastAsia="Times New Roman" w:hAnsi="Calibri" w:cs="Times New Roman"/>
                <w:b/>
                <w:bCs/>
                <w:color w:val="000000"/>
                <w:lang w:eastAsia="en-GB"/>
              </w:rPr>
            </w:pPr>
            <w:r w:rsidRPr="002906A3">
              <w:rPr>
                <w:rFonts w:ascii="Calibri" w:eastAsia="Times New Roman" w:hAnsi="Calibri" w:cs="Times New Roman"/>
                <w:b/>
                <w:bCs/>
                <w:color w:val="000000"/>
                <w:lang w:eastAsia="en-GB"/>
              </w:rPr>
              <w:t>Site area (ha)</w:t>
            </w:r>
          </w:p>
        </w:tc>
        <w:tc>
          <w:tcPr>
            <w:tcW w:w="4360" w:type="dxa"/>
            <w:tcBorders>
              <w:top w:val="single" w:sz="12" w:space="0" w:color="auto"/>
              <w:left w:val="nil"/>
              <w:bottom w:val="single" w:sz="4" w:space="0" w:color="auto"/>
              <w:right w:val="single" w:sz="12" w:space="0" w:color="auto"/>
            </w:tcBorders>
            <w:shd w:val="clear" w:color="000000" w:fill="B8CCE4"/>
            <w:vAlign w:val="center"/>
            <w:hideMark/>
          </w:tcPr>
          <w:p w14:paraId="68F8F67F" w14:textId="77777777" w:rsidR="001B2581" w:rsidRPr="002906A3" w:rsidRDefault="001B2581" w:rsidP="001B2581">
            <w:pPr>
              <w:spacing w:after="0" w:line="240" w:lineRule="auto"/>
              <w:jc w:val="center"/>
              <w:rPr>
                <w:rFonts w:ascii="Calibri" w:eastAsia="Times New Roman" w:hAnsi="Calibri" w:cs="Times New Roman"/>
                <w:b/>
                <w:bCs/>
                <w:color w:val="000000"/>
                <w:lang w:eastAsia="en-GB"/>
              </w:rPr>
            </w:pPr>
            <w:r w:rsidRPr="002906A3">
              <w:rPr>
                <w:rFonts w:ascii="Calibri" w:eastAsia="Times New Roman" w:hAnsi="Calibri" w:cs="Times New Roman"/>
                <w:b/>
                <w:bCs/>
                <w:color w:val="000000"/>
                <w:lang w:eastAsia="en-GB"/>
              </w:rPr>
              <w:t>Current position</w:t>
            </w:r>
          </w:p>
        </w:tc>
      </w:tr>
      <w:tr w:rsidR="001B2581" w:rsidRPr="00107B77" w14:paraId="392192E1" w14:textId="77777777" w:rsidTr="001B2581">
        <w:trPr>
          <w:trHeight w:val="600"/>
        </w:trPr>
        <w:tc>
          <w:tcPr>
            <w:tcW w:w="82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A152880"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1</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18BF9D87"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 xml:space="preserve">Land south of the A5, </w:t>
            </w:r>
            <w:proofErr w:type="spellStart"/>
            <w:r w:rsidRPr="002906A3">
              <w:rPr>
                <w:rFonts w:ascii="Calibri" w:eastAsia="Times New Roman" w:hAnsi="Calibri" w:cs="Times New Roman"/>
                <w:color w:val="000000"/>
                <w:lang w:eastAsia="en-GB"/>
              </w:rPr>
              <w:t>Bitterscote</w:t>
            </w:r>
            <w:proofErr w:type="spellEnd"/>
            <w:r w:rsidRPr="002906A3">
              <w:rPr>
                <w:rFonts w:ascii="Calibri" w:eastAsia="Times New Roman" w:hAnsi="Calibri" w:cs="Times New Roman"/>
                <w:color w:val="000000"/>
                <w:lang w:eastAsia="en-GB"/>
              </w:rPr>
              <w:t xml:space="preserve"> south</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A0B1498"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9.8</w:t>
            </w:r>
          </w:p>
        </w:tc>
        <w:tc>
          <w:tcPr>
            <w:tcW w:w="4360" w:type="dxa"/>
            <w:tcBorders>
              <w:top w:val="single" w:sz="4" w:space="0" w:color="auto"/>
              <w:left w:val="nil"/>
              <w:bottom w:val="single" w:sz="4" w:space="0" w:color="auto"/>
              <w:right w:val="single" w:sz="12" w:space="0" w:color="auto"/>
            </w:tcBorders>
            <w:shd w:val="clear" w:color="auto" w:fill="auto"/>
            <w:vAlign w:val="center"/>
            <w:hideMark/>
          </w:tcPr>
          <w:p w14:paraId="6621C8CF" w14:textId="6B716A85" w:rsidR="001B2581" w:rsidRPr="002906A3" w:rsidRDefault="002906A3" w:rsidP="001E3B44">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 xml:space="preserve">Permission granted for a car showroom with associated sales facility, car repairs, MOT, </w:t>
            </w:r>
            <w:r w:rsidRPr="002906A3">
              <w:rPr>
                <w:rFonts w:ascii="Calibri" w:eastAsia="Times New Roman" w:hAnsi="Calibri" w:cs="Times New Roman"/>
                <w:color w:val="000000"/>
                <w:lang w:eastAsia="en-GB"/>
              </w:rPr>
              <w:lastRenderedPageBreak/>
              <w:t xml:space="preserve">storage and valet facility (0055/2018). The permission </w:t>
            </w:r>
            <w:r w:rsidR="002B68DF">
              <w:rPr>
                <w:rFonts w:ascii="Calibri" w:eastAsia="Times New Roman" w:hAnsi="Calibri" w:cs="Times New Roman"/>
                <w:color w:val="000000"/>
                <w:lang w:eastAsia="en-GB"/>
              </w:rPr>
              <w:t xml:space="preserve">has now expired. </w:t>
            </w:r>
          </w:p>
        </w:tc>
      </w:tr>
      <w:tr w:rsidR="001B2581" w:rsidRPr="00107B77" w14:paraId="62805C4B" w14:textId="77777777" w:rsidTr="001B2581">
        <w:trPr>
          <w:trHeight w:val="900"/>
        </w:trPr>
        <w:tc>
          <w:tcPr>
            <w:tcW w:w="820" w:type="dxa"/>
            <w:tcBorders>
              <w:top w:val="nil"/>
              <w:left w:val="single" w:sz="12" w:space="0" w:color="auto"/>
              <w:bottom w:val="single" w:sz="4" w:space="0" w:color="auto"/>
              <w:right w:val="single" w:sz="4" w:space="0" w:color="auto"/>
            </w:tcBorders>
            <w:shd w:val="clear" w:color="auto" w:fill="auto"/>
            <w:vAlign w:val="center"/>
            <w:hideMark/>
          </w:tcPr>
          <w:p w14:paraId="580C87DF"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2</w:t>
            </w:r>
          </w:p>
        </w:tc>
        <w:tc>
          <w:tcPr>
            <w:tcW w:w="2980" w:type="dxa"/>
            <w:tcBorders>
              <w:top w:val="nil"/>
              <w:left w:val="nil"/>
              <w:bottom w:val="single" w:sz="4" w:space="0" w:color="auto"/>
              <w:right w:val="single" w:sz="4" w:space="0" w:color="auto"/>
            </w:tcBorders>
            <w:shd w:val="clear" w:color="auto" w:fill="auto"/>
            <w:vAlign w:val="center"/>
            <w:hideMark/>
          </w:tcPr>
          <w:p w14:paraId="73C55073"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Cardinal Point</w:t>
            </w:r>
          </w:p>
        </w:tc>
        <w:tc>
          <w:tcPr>
            <w:tcW w:w="920" w:type="dxa"/>
            <w:tcBorders>
              <w:top w:val="nil"/>
              <w:left w:val="nil"/>
              <w:bottom w:val="single" w:sz="4" w:space="0" w:color="auto"/>
              <w:right w:val="single" w:sz="4" w:space="0" w:color="auto"/>
            </w:tcBorders>
            <w:shd w:val="clear" w:color="auto" w:fill="auto"/>
            <w:noWrap/>
            <w:vAlign w:val="center"/>
            <w:hideMark/>
          </w:tcPr>
          <w:p w14:paraId="73AC2ED4"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1.45</w:t>
            </w:r>
          </w:p>
        </w:tc>
        <w:tc>
          <w:tcPr>
            <w:tcW w:w="4360" w:type="dxa"/>
            <w:tcBorders>
              <w:top w:val="nil"/>
              <w:left w:val="nil"/>
              <w:bottom w:val="single" w:sz="4" w:space="0" w:color="auto"/>
              <w:right w:val="single" w:sz="12" w:space="0" w:color="auto"/>
            </w:tcBorders>
            <w:shd w:val="clear" w:color="auto" w:fill="auto"/>
            <w:vAlign w:val="center"/>
            <w:hideMark/>
          </w:tcPr>
          <w:p w14:paraId="2F8D8050"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Site developed as a BMW car showroom with associated workshop/service area (0004/2014).</w:t>
            </w:r>
          </w:p>
        </w:tc>
      </w:tr>
      <w:tr w:rsidR="001B2581" w:rsidRPr="00107B77" w14:paraId="51094804" w14:textId="77777777" w:rsidTr="001B2581">
        <w:trPr>
          <w:trHeight w:val="900"/>
        </w:trPr>
        <w:tc>
          <w:tcPr>
            <w:tcW w:w="820" w:type="dxa"/>
            <w:tcBorders>
              <w:top w:val="nil"/>
              <w:left w:val="single" w:sz="12" w:space="0" w:color="auto"/>
              <w:bottom w:val="single" w:sz="4" w:space="0" w:color="auto"/>
              <w:right w:val="single" w:sz="4" w:space="0" w:color="auto"/>
            </w:tcBorders>
            <w:shd w:val="clear" w:color="auto" w:fill="auto"/>
            <w:vAlign w:val="center"/>
            <w:hideMark/>
          </w:tcPr>
          <w:p w14:paraId="7161A447"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7</w:t>
            </w:r>
          </w:p>
        </w:tc>
        <w:tc>
          <w:tcPr>
            <w:tcW w:w="2980" w:type="dxa"/>
            <w:tcBorders>
              <w:top w:val="nil"/>
              <w:left w:val="nil"/>
              <w:bottom w:val="single" w:sz="4" w:space="0" w:color="auto"/>
              <w:right w:val="single" w:sz="4" w:space="0" w:color="auto"/>
            </w:tcBorders>
            <w:shd w:val="clear" w:color="auto" w:fill="auto"/>
            <w:vAlign w:val="center"/>
            <w:hideMark/>
          </w:tcPr>
          <w:p w14:paraId="49E81B5F"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 xml:space="preserve">Land north of </w:t>
            </w:r>
            <w:proofErr w:type="spellStart"/>
            <w:r w:rsidRPr="002906A3">
              <w:rPr>
                <w:rFonts w:ascii="Calibri" w:eastAsia="Times New Roman" w:hAnsi="Calibri" w:cs="Times New Roman"/>
                <w:color w:val="000000"/>
                <w:lang w:eastAsia="en-GB"/>
              </w:rPr>
              <w:t>Bonehill</w:t>
            </w:r>
            <w:proofErr w:type="spellEnd"/>
            <w:r w:rsidRPr="002906A3">
              <w:rPr>
                <w:rFonts w:ascii="Calibri" w:eastAsia="Times New Roman" w:hAnsi="Calibri" w:cs="Times New Roman"/>
                <w:color w:val="000000"/>
                <w:lang w:eastAsia="en-GB"/>
              </w:rPr>
              <w:t xml:space="preserve"> Road, part of </w:t>
            </w:r>
            <w:proofErr w:type="spellStart"/>
            <w:r w:rsidRPr="002906A3">
              <w:rPr>
                <w:rFonts w:ascii="Calibri" w:eastAsia="Times New Roman" w:hAnsi="Calibri" w:cs="Times New Roman"/>
                <w:color w:val="000000"/>
                <w:lang w:eastAsia="en-GB"/>
              </w:rPr>
              <w:t>Bonehill</w:t>
            </w:r>
            <w:proofErr w:type="spellEnd"/>
            <w:r w:rsidRPr="002906A3">
              <w:rPr>
                <w:rFonts w:ascii="Calibri" w:eastAsia="Times New Roman" w:hAnsi="Calibri" w:cs="Times New Roman"/>
                <w:color w:val="000000"/>
                <w:lang w:eastAsia="en-GB"/>
              </w:rPr>
              <w:t xml:space="preserve"> Road employment area</w:t>
            </w:r>
          </w:p>
        </w:tc>
        <w:tc>
          <w:tcPr>
            <w:tcW w:w="920" w:type="dxa"/>
            <w:tcBorders>
              <w:top w:val="nil"/>
              <w:left w:val="nil"/>
              <w:bottom w:val="single" w:sz="4" w:space="0" w:color="auto"/>
              <w:right w:val="single" w:sz="4" w:space="0" w:color="auto"/>
            </w:tcBorders>
            <w:shd w:val="clear" w:color="auto" w:fill="auto"/>
            <w:noWrap/>
            <w:vAlign w:val="center"/>
            <w:hideMark/>
          </w:tcPr>
          <w:p w14:paraId="686EF4C9"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0.7</w:t>
            </w:r>
          </w:p>
        </w:tc>
        <w:tc>
          <w:tcPr>
            <w:tcW w:w="4360" w:type="dxa"/>
            <w:tcBorders>
              <w:top w:val="nil"/>
              <w:left w:val="nil"/>
              <w:bottom w:val="single" w:sz="4" w:space="0" w:color="auto"/>
              <w:right w:val="single" w:sz="12" w:space="0" w:color="auto"/>
            </w:tcBorders>
            <w:shd w:val="clear" w:color="auto" w:fill="auto"/>
            <w:vAlign w:val="center"/>
            <w:hideMark/>
          </w:tcPr>
          <w:p w14:paraId="03B1A4BB" w14:textId="77777777" w:rsidR="001B2581" w:rsidRPr="002906A3" w:rsidRDefault="00ED1B7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Part of site included in Dunstall Lane SUE application (0308/2016) as land for a convenience store.</w:t>
            </w:r>
          </w:p>
        </w:tc>
      </w:tr>
      <w:tr w:rsidR="001B2581" w:rsidRPr="00107B77" w14:paraId="0FB353D8" w14:textId="77777777" w:rsidTr="001B2581">
        <w:trPr>
          <w:trHeight w:val="300"/>
        </w:trPr>
        <w:tc>
          <w:tcPr>
            <w:tcW w:w="820" w:type="dxa"/>
            <w:tcBorders>
              <w:top w:val="nil"/>
              <w:left w:val="single" w:sz="12" w:space="0" w:color="auto"/>
              <w:bottom w:val="single" w:sz="4" w:space="0" w:color="auto"/>
              <w:right w:val="single" w:sz="4" w:space="0" w:color="auto"/>
            </w:tcBorders>
            <w:shd w:val="clear" w:color="auto" w:fill="auto"/>
            <w:vAlign w:val="center"/>
            <w:hideMark/>
          </w:tcPr>
          <w:p w14:paraId="6C1C9020"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8</w:t>
            </w:r>
          </w:p>
        </w:tc>
        <w:tc>
          <w:tcPr>
            <w:tcW w:w="2980" w:type="dxa"/>
            <w:tcBorders>
              <w:top w:val="nil"/>
              <w:left w:val="nil"/>
              <w:bottom w:val="single" w:sz="4" w:space="0" w:color="auto"/>
              <w:right w:val="single" w:sz="4" w:space="0" w:color="auto"/>
            </w:tcBorders>
            <w:shd w:val="clear" w:color="auto" w:fill="auto"/>
            <w:vAlign w:val="center"/>
            <w:hideMark/>
          </w:tcPr>
          <w:p w14:paraId="1ED21131"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Land adjacent to Relay Park</w:t>
            </w:r>
          </w:p>
        </w:tc>
        <w:tc>
          <w:tcPr>
            <w:tcW w:w="920" w:type="dxa"/>
            <w:tcBorders>
              <w:top w:val="nil"/>
              <w:left w:val="nil"/>
              <w:bottom w:val="single" w:sz="4" w:space="0" w:color="auto"/>
              <w:right w:val="single" w:sz="4" w:space="0" w:color="auto"/>
            </w:tcBorders>
            <w:shd w:val="clear" w:color="auto" w:fill="auto"/>
            <w:noWrap/>
            <w:vAlign w:val="center"/>
            <w:hideMark/>
          </w:tcPr>
          <w:p w14:paraId="7BEA3820"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2.84</w:t>
            </w:r>
          </w:p>
        </w:tc>
        <w:tc>
          <w:tcPr>
            <w:tcW w:w="4360" w:type="dxa"/>
            <w:tcBorders>
              <w:top w:val="nil"/>
              <w:left w:val="nil"/>
              <w:bottom w:val="single" w:sz="4" w:space="0" w:color="auto"/>
              <w:right w:val="single" w:sz="12" w:space="0" w:color="auto"/>
            </w:tcBorders>
            <w:shd w:val="clear" w:color="auto" w:fill="auto"/>
            <w:vAlign w:val="center"/>
            <w:hideMark/>
          </w:tcPr>
          <w:p w14:paraId="63780DB9" w14:textId="77777777" w:rsidR="001B2581" w:rsidRPr="002906A3" w:rsidRDefault="008B3CED" w:rsidP="008B3CE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Site developed as a</w:t>
            </w:r>
            <w:r w:rsidR="002906A3" w:rsidRPr="002906A3">
              <w:rPr>
                <w:rFonts w:ascii="Calibri" w:eastAsia="Times New Roman" w:hAnsi="Calibri" w:cs="Times New Roman"/>
                <w:color w:val="000000"/>
                <w:lang w:eastAsia="en-GB"/>
              </w:rPr>
              <w:t xml:space="preserve"> Distribution and Manufacturing Unit with ancillary offices (Use Classes B1, B2 and B8) (0464/2018).</w:t>
            </w:r>
          </w:p>
        </w:tc>
      </w:tr>
      <w:tr w:rsidR="001B2581" w:rsidRPr="00107B77" w14:paraId="262BC447" w14:textId="77777777" w:rsidTr="001B2581">
        <w:trPr>
          <w:trHeight w:val="600"/>
        </w:trPr>
        <w:tc>
          <w:tcPr>
            <w:tcW w:w="820" w:type="dxa"/>
            <w:tcBorders>
              <w:top w:val="nil"/>
              <w:left w:val="single" w:sz="12" w:space="0" w:color="auto"/>
              <w:bottom w:val="single" w:sz="4" w:space="0" w:color="auto"/>
              <w:right w:val="single" w:sz="4" w:space="0" w:color="auto"/>
            </w:tcBorders>
            <w:shd w:val="clear" w:color="auto" w:fill="auto"/>
            <w:vAlign w:val="center"/>
            <w:hideMark/>
          </w:tcPr>
          <w:p w14:paraId="6DA42C94"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9</w:t>
            </w:r>
          </w:p>
        </w:tc>
        <w:tc>
          <w:tcPr>
            <w:tcW w:w="2980" w:type="dxa"/>
            <w:tcBorders>
              <w:top w:val="nil"/>
              <w:left w:val="nil"/>
              <w:bottom w:val="single" w:sz="4" w:space="0" w:color="auto"/>
              <w:right w:val="single" w:sz="4" w:space="0" w:color="auto"/>
            </w:tcBorders>
            <w:shd w:val="clear" w:color="auto" w:fill="auto"/>
            <w:vAlign w:val="center"/>
            <w:hideMark/>
          </w:tcPr>
          <w:p w14:paraId="4E4F22ED"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Land adjacent to Centurion Park</w:t>
            </w:r>
          </w:p>
        </w:tc>
        <w:tc>
          <w:tcPr>
            <w:tcW w:w="920" w:type="dxa"/>
            <w:tcBorders>
              <w:top w:val="nil"/>
              <w:left w:val="nil"/>
              <w:bottom w:val="single" w:sz="4" w:space="0" w:color="auto"/>
              <w:right w:val="single" w:sz="4" w:space="0" w:color="auto"/>
            </w:tcBorders>
            <w:shd w:val="clear" w:color="auto" w:fill="auto"/>
            <w:noWrap/>
            <w:vAlign w:val="center"/>
            <w:hideMark/>
          </w:tcPr>
          <w:p w14:paraId="4CFBACFF"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0.74</w:t>
            </w:r>
          </w:p>
        </w:tc>
        <w:tc>
          <w:tcPr>
            <w:tcW w:w="4360" w:type="dxa"/>
            <w:tcBorders>
              <w:top w:val="nil"/>
              <w:left w:val="nil"/>
              <w:bottom w:val="single" w:sz="4" w:space="0" w:color="auto"/>
              <w:right w:val="single" w:sz="12" w:space="0" w:color="auto"/>
            </w:tcBorders>
            <w:shd w:val="clear" w:color="auto" w:fill="auto"/>
            <w:vAlign w:val="center"/>
            <w:hideMark/>
          </w:tcPr>
          <w:p w14:paraId="6E2896BD" w14:textId="1DD07B92" w:rsidR="001B2581" w:rsidRPr="002906A3" w:rsidRDefault="00843E8E" w:rsidP="001B25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Site developed </w:t>
            </w:r>
            <w:r w:rsidR="00926843">
              <w:rPr>
                <w:rFonts w:ascii="Calibri" w:eastAsia="Times New Roman" w:hAnsi="Calibri" w:cs="Times New Roman"/>
                <w:color w:val="000000"/>
                <w:lang w:eastAsia="en-GB"/>
              </w:rPr>
              <w:t xml:space="preserve">as employment carpark. </w:t>
            </w:r>
            <w:r w:rsidR="00603656">
              <w:rPr>
                <w:rFonts w:ascii="Calibri" w:eastAsia="Times New Roman" w:hAnsi="Calibri" w:cs="Times New Roman"/>
                <w:color w:val="000000"/>
                <w:lang w:eastAsia="en-GB"/>
              </w:rPr>
              <w:t xml:space="preserve">Retrospective application (0397/2019) for part use of land as car park. </w:t>
            </w:r>
            <w:r w:rsidR="001066F9">
              <w:rPr>
                <w:rFonts w:ascii="Calibri" w:eastAsia="Times New Roman" w:hAnsi="Calibri" w:cs="Times New Roman"/>
                <w:color w:val="000000"/>
                <w:lang w:eastAsia="en-GB"/>
              </w:rPr>
              <w:t xml:space="preserve">Certificate </w:t>
            </w:r>
            <w:r w:rsidR="00D07A20">
              <w:rPr>
                <w:rFonts w:ascii="Calibri" w:eastAsia="Times New Roman" w:hAnsi="Calibri" w:cs="Times New Roman"/>
                <w:color w:val="000000"/>
                <w:lang w:eastAsia="en-GB"/>
              </w:rPr>
              <w:t xml:space="preserve">of Lawful Development (0365/2019). </w:t>
            </w:r>
          </w:p>
        </w:tc>
      </w:tr>
      <w:tr w:rsidR="001B2581" w:rsidRPr="00107B77" w14:paraId="54994057" w14:textId="77777777" w:rsidTr="001B2581">
        <w:trPr>
          <w:trHeight w:val="600"/>
        </w:trPr>
        <w:tc>
          <w:tcPr>
            <w:tcW w:w="820" w:type="dxa"/>
            <w:tcBorders>
              <w:top w:val="nil"/>
              <w:left w:val="single" w:sz="12" w:space="0" w:color="auto"/>
              <w:bottom w:val="single" w:sz="4" w:space="0" w:color="auto"/>
              <w:right w:val="single" w:sz="4" w:space="0" w:color="auto"/>
            </w:tcBorders>
            <w:shd w:val="clear" w:color="auto" w:fill="auto"/>
            <w:vAlign w:val="center"/>
            <w:hideMark/>
          </w:tcPr>
          <w:p w14:paraId="781595C1"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10, 30, 34</w:t>
            </w:r>
          </w:p>
        </w:tc>
        <w:tc>
          <w:tcPr>
            <w:tcW w:w="2980" w:type="dxa"/>
            <w:tcBorders>
              <w:top w:val="nil"/>
              <w:left w:val="nil"/>
              <w:bottom w:val="single" w:sz="4" w:space="0" w:color="auto"/>
              <w:right w:val="single" w:sz="4" w:space="0" w:color="auto"/>
            </w:tcBorders>
            <w:shd w:val="clear" w:color="auto" w:fill="auto"/>
            <w:vAlign w:val="center"/>
            <w:hideMark/>
          </w:tcPr>
          <w:p w14:paraId="6F1F15A1"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 xml:space="preserve">Sandy Way, part of </w:t>
            </w:r>
            <w:proofErr w:type="spellStart"/>
            <w:r w:rsidRPr="002906A3">
              <w:rPr>
                <w:rFonts w:ascii="Calibri" w:eastAsia="Times New Roman" w:hAnsi="Calibri" w:cs="Times New Roman"/>
                <w:color w:val="000000"/>
                <w:lang w:eastAsia="en-GB"/>
              </w:rPr>
              <w:t>Amington</w:t>
            </w:r>
            <w:proofErr w:type="spellEnd"/>
            <w:r w:rsidRPr="002906A3">
              <w:rPr>
                <w:rFonts w:ascii="Calibri" w:eastAsia="Times New Roman" w:hAnsi="Calibri" w:cs="Times New Roman"/>
                <w:color w:val="000000"/>
                <w:lang w:eastAsia="en-GB"/>
              </w:rPr>
              <w:t xml:space="preserve"> employment area</w:t>
            </w:r>
          </w:p>
        </w:tc>
        <w:tc>
          <w:tcPr>
            <w:tcW w:w="920" w:type="dxa"/>
            <w:tcBorders>
              <w:top w:val="nil"/>
              <w:left w:val="nil"/>
              <w:bottom w:val="single" w:sz="4" w:space="0" w:color="auto"/>
              <w:right w:val="single" w:sz="4" w:space="0" w:color="auto"/>
            </w:tcBorders>
            <w:shd w:val="clear" w:color="auto" w:fill="auto"/>
            <w:noWrap/>
            <w:vAlign w:val="center"/>
            <w:hideMark/>
          </w:tcPr>
          <w:p w14:paraId="168DBFE5"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1.64</w:t>
            </w:r>
          </w:p>
        </w:tc>
        <w:tc>
          <w:tcPr>
            <w:tcW w:w="4360" w:type="dxa"/>
            <w:tcBorders>
              <w:top w:val="nil"/>
              <w:left w:val="nil"/>
              <w:bottom w:val="single" w:sz="4" w:space="0" w:color="auto"/>
              <w:right w:val="single" w:sz="12" w:space="0" w:color="auto"/>
            </w:tcBorders>
            <w:shd w:val="clear" w:color="auto" w:fill="auto"/>
            <w:vAlign w:val="center"/>
            <w:hideMark/>
          </w:tcPr>
          <w:p w14:paraId="57077826" w14:textId="0EBB36DB" w:rsidR="001B2581" w:rsidRPr="002906A3" w:rsidRDefault="00AC21C2" w:rsidP="001B25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Site developed as employment units </w:t>
            </w:r>
            <w:r w:rsidR="00FD0653">
              <w:rPr>
                <w:rFonts w:ascii="Calibri" w:eastAsia="Times New Roman" w:hAnsi="Calibri" w:cs="Times New Roman"/>
                <w:color w:val="000000"/>
                <w:lang w:eastAsia="en-GB"/>
              </w:rPr>
              <w:t>(0428/2020)</w:t>
            </w:r>
            <w:r>
              <w:rPr>
                <w:rFonts w:ascii="Calibri" w:eastAsia="Times New Roman" w:hAnsi="Calibri" w:cs="Times New Roman"/>
                <w:color w:val="000000"/>
                <w:lang w:eastAsia="en-GB"/>
              </w:rPr>
              <w:t>.</w:t>
            </w:r>
          </w:p>
        </w:tc>
      </w:tr>
      <w:tr w:rsidR="001B2581" w:rsidRPr="00107B77" w14:paraId="157339EE" w14:textId="77777777" w:rsidTr="001B2581">
        <w:trPr>
          <w:trHeight w:val="600"/>
        </w:trPr>
        <w:tc>
          <w:tcPr>
            <w:tcW w:w="820" w:type="dxa"/>
            <w:tcBorders>
              <w:top w:val="nil"/>
              <w:left w:val="single" w:sz="12" w:space="0" w:color="auto"/>
              <w:bottom w:val="single" w:sz="4" w:space="0" w:color="auto"/>
              <w:right w:val="single" w:sz="4" w:space="0" w:color="auto"/>
            </w:tcBorders>
            <w:shd w:val="clear" w:color="auto" w:fill="auto"/>
            <w:vAlign w:val="center"/>
            <w:hideMark/>
          </w:tcPr>
          <w:p w14:paraId="16463116"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26</w:t>
            </w:r>
          </w:p>
        </w:tc>
        <w:tc>
          <w:tcPr>
            <w:tcW w:w="2980" w:type="dxa"/>
            <w:tcBorders>
              <w:top w:val="nil"/>
              <w:left w:val="nil"/>
              <w:bottom w:val="single" w:sz="4" w:space="0" w:color="auto"/>
              <w:right w:val="single" w:sz="4" w:space="0" w:color="auto"/>
            </w:tcBorders>
            <w:shd w:val="clear" w:color="auto" w:fill="auto"/>
            <w:vAlign w:val="center"/>
            <w:hideMark/>
          </w:tcPr>
          <w:p w14:paraId="1DD5C68D"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Land adjacent to Sandy Hill Business Park</w:t>
            </w:r>
          </w:p>
        </w:tc>
        <w:tc>
          <w:tcPr>
            <w:tcW w:w="920" w:type="dxa"/>
            <w:tcBorders>
              <w:top w:val="nil"/>
              <w:left w:val="nil"/>
              <w:bottom w:val="single" w:sz="4" w:space="0" w:color="auto"/>
              <w:right w:val="single" w:sz="4" w:space="0" w:color="auto"/>
            </w:tcBorders>
            <w:shd w:val="clear" w:color="auto" w:fill="auto"/>
            <w:noWrap/>
            <w:vAlign w:val="center"/>
            <w:hideMark/>
          </w:tcPr>
          <w:p w14:paraId="2D2ED37C"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0.95</w:t>
            </w:r>
          </w:p>
        </w:tc>
        <w:tc>
          <w:tcPr>
            <w:tcW w:w="4360" w:type="dxa"/>
            <w:tcBorders>
              <w:top w:val="nil"/>
              <w:left w:val="nil"/>
              <w:bottom w:val="single" w:sz="4" w:space="0" w:color="auto"/>
              <w:right w:val="single" w:sz="12" w:space="0" w:color="auto"/>
            </w:tcBorders>
            <w:shd w:val="clear" w:color="auto" w:fill="auto"/>
            <w:vAlign w:val="center"/>
            <w:hideMark/>
          </w:tcPr>
          <w:p w14:paraId="787401BA"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No progress.</w:t>
            </w:r>
          </w:p>
        </w:tc>
      </w:tr>
      <w:tr w:rsidR="001B2581" w:rsidRPr="00107B77" w14:paraId="376CC562" w14:textId="77777777" w:rsidTr="001B2581">
        <w:trPr>
          <w:trHeight w:val="615"/>
        </w:trPr>
        <w:tc>
          <w:tcPr>
            <w:tcW w:w="820" w:type="dxa"/>
            <w:tcBorders>
              <w:top w:val="nil"/>
              <w:left w:val="single" w:sz="12" w:space="0" w:color="auto"/>
              <w:bottom w:val="single" w:sz="12" w:space="0" w:color="auto"/>
              <w:right w:val="single" w:sz="4" w:space="0" w:color="auto"/>
            </w:tcBorders>
            <w:shd w:val="clear" w:color="auto" w:fill="auto"/>
            <w:vAlign w:val="center"/>
            <w:hideMark/>
          </w:tcPr>
          <w:p w14:paraId="00820E98"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EMP 33</w:t>
            </w:r>
          </w:p>
        </w:tc>
        <w:tc>
          <w:tcPr>
            <w:tcW w:w="2980" w:type="dxa"/>
            <w:tcBorders>
              <w:top w:val="nil"/>
              <w:left w:val="nil"/>
              <w:bottom w:val="single" w:sz="12" w:space="0" w:color="auto"/>
              <w:right w:val="single" w:sz="4" w:space="0" w:color="auto"/>
            </w:tcBorders>
            <w:shd w:val="clear" w:color="auto" w:fill="auto"/>
            <w:vAlign w:val="center"/>
            <w:hideMark/>
          </w:tcPr>
          <w:p w14:paraId="18769A5D" w14:textId="77777777" w:rsidR="001B2581" w:rsidRPr="002906A3" w:rsidRDefault="001B2581" w:rsidP="001B2581">
            <w:pPr>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 xml:space="preserve">Site off </w:t>
            </w:r>
            <w:proofErr w:type="spellStart"/>
            <w:r w:rsidRPr="002906A3">
              <w:rPr>
                <w:rFonts w:ascii="Calibri" w:eastAsia="Times New Roman" w:hAnsi="Calibri" w:cs="Times New Roman"/>
                <w:color w:val="000000"/>
                <w:lang w:eastAsia="en-GB"/>
              </w:rPr>
              <w:t>Bonehill</w:t>
            </w:r>
            <w:proofErr w:type="spellEnd"/>
            <w:r w:rsidRPr="002906A3">
              <w:rPr>
                <w:rFonts w:ascii="Calibri" w:eastAsia="Times New Roman" w:hAnsi="Calibri" w:cs="Times New Roman"/>
                <w:color w:val="000000"/>
                <w:lang w:eastAsia="en-GB"/>
              </w:rPr>
              <w:t xml:space="preserve"> Road</w:t>
            </w:r>
          </w:p>
        </w:tc>
        <w:tc>
          <w:tcPr>
            <w:tcW w:w="920" w:type="dxa"/>
            <w:tcBorders>
              <w:top w:val="nil"/>
              <w:left w:val="nil"/>
              <w:bottom w:val="single" w:sz="12" w:space="0" w:color="auto"/>
              <w:right w:val="single" w:sz="4" w:space="0" w:color="auto"/>
            </w:tcBorders>
            <w:shd w:val="clear" w:color="auto" w:fill="auto"/>
            <w:noWrap/>
            <w:vAlign w:val="center"/>
            <w:hideMark/>
          </w:tcPr>
          <w:p w14:paraId="190C9DA8" w14:textId="77777777" w:rsidR="001B2581" w:rsidRPr="002906A3" w:rsidRDefault="001B2581" w:rsidP="001B2581">
            <w:pPr>
              <w:spacing w:after="0" w:line="240" w:lineRule="auto"/>
              <w:jc w:val="center"/>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0.57</w:t>
            </w:r>
          </w:p>
        </w:tc>
        <w:tc>
          <w:tcPr>
            <w:tcW w:w="4360" w:type="dxa"/>
            <w:tcBorders>
              <w:top w:val="nil"/>
              <w:left w:val="nil"/>
              <w:bottom w:val="single" w:sz="12" w:space="0" w:color="auto"/>
              <w:right w:val="single" w:sz="12" w:space="0" w:color="auto"/>
            </w:tcBorders>
            <w:shd w:val="clear" w:color="auto" w:fill="auto"/>
            <w:vAlign w:val="center"/>
            <w:hideMark/>
          </w:tcPr>
          <w:p w14:paraId="1408FA08" w14:textId="77777777" w:rsidR="001B2581" w:rsidRPr="002906A3" w:rsidRDefault="00ED1B71" w:rsidP="00711D04">
            <w:pPr>
              <w:keepNext/>
              <w:spacing w:after="0" w:line="240" w:lineRule="auto"/>
              <w:rPr>
                <w:rFonts w:ascii="Calibri" w:eastAsia="Times New Roman" w:hAnsi="Calibri" w:cs="Times New Roman"/>
                <w:color w:val="000000"/>
                <w:lang w:eastAsia="en-GB"/>
              </w:rPr>
            </w:pPr>
            <w:r w:rsidRPr="002906A3">
              <w:rPr>
                <w:rFonts w:ascii="Calibri" w:eastAsia="Times New Roman" w:hAnsi="Calibri" w:cs="Times New Roman"/>
                <w:color w:val="000000"/>
                <w:lang w:eastAsia="en-GB"/>
              </w:rPr>
              <w:t>Site developed as a Mini showroom with associated workshop/service area (0052/2014).</w:t>
            </w:r>
          </w:p>
        </w:tc>
      </w:tr>
    </w:tbl>
    <w:p w14:paraId="62DD12D5" w14:textId="5E84D6E5" w:rsidR="00B600EF" w:rsidRPr="00A41CF3" w:rsidRDefault="00711D04" w:rsidP="00711D04">
      <w:pPr>
        <w:pStyle w:val="Caption"/>
        <w:rPr>
          <w:b w:val="0"/>
          <w:i/>
          <w:color w:val="auto"/>
          <w:sz w:val="20"/>
          <w:szCs w:val="20"/>
        </w:rPr>
      </w:pPr>
      <w:bookmarkStart w:id="32" w:name="_Toc13586550"/>
      <w:bookmarkStart w:id="33" w:name="_Toc133397746"/>
      <w:r w:rsidRPr="00A41CF3">
        <w:rPr>
          <w:b w:val="0"/>
          <w:i/>
          <w:color w:val="auto"/>
          <w:sz w:val="20"/>
          <w:szCs w:val="20"/>
        </w:rPr>
        <w:t xml:space="preserve">Table </w:t>
      </w:r>
      <w:r w:rsidR="000C0FD0">
        <w:rPr>
          <w:b w:val="0"/>
          <w:i/>
          <w:color w:val="auto"/>
          <w:sz w:val="20"/>
          <w:szCs w:val="20"/>
        </w:rPr>
        <w:fldChar w:fldCharType="begin"/>
      </w:r>
      <w:r w:rsidR="000C0FD0">
        <w:rPr>
          <w:b w:val="0"/>
          <w:i/>
          <w:color w:val="auto"/>
          <w:sz w:val="20"/>
          <w:szCs w:val="20"/>
        </w:rPr>
        <w:instrText xml:space="preserve"> SEQ Table \* ARABIC </w:instrText>
      </w:r>
      <w:r w:rsidR="000C0FD0">
        <w:rPr>
          <w:b w:val="0"/>
          <w:i/>
          <w:color w:val="auto"/>
          <w:sz w:val="20"/>
          <w:szCs w:val="20"/>
        </w:rPr>
        <w:fldChar w:fldCharType="separate"/>
      </w:r>
      <w:r w:rsidR="00782072">
        <w:rPr>
          <w:b w:val="0"/>
          <w:i/>
          <w:noProof/>
          <w:color w:val="auto"/>
          <w:sz w:val="20"/>
          <w:szCs w:val="20"/>
        </w:rPr>
        <w:t>4</w:t>
      </w:r>
      <w:r w:rsidR="000C0FD0">
        <w:rPr>
          <w:b w:val="0"/>
          <w:i/>
          <w:color w:val="auto"/>
          <w:sz w:val="20"/>
          <w:szCs w:val="20"/>
        </w:rPr>
        <w:fldChar w:fldCharType="end"/>
      </w:r>
      <w:r w:rsidRPr="00A41CF3">
        <w:rPr>
          <w:b w:val="0"/>
          <w:i/>
          <w:color w:val="auto"/>
          <w:sz w:val="20"/>
          <w:szCs w:val="20"/>
        </w:rPr>
        <w:t>: Prog</w:t>
      </w:r>
      <w:r w:rsidR="00A41CF3">
        <w:rPr>
          <w:b w:val="0"/>
          <w:i/>
          <w:color w:val="auto"/>
          <w:sz w:val="20"/>
          <w:szCs w:val="20"/>
        </w:rPr>
        <w:t>r</w:t>
      </w:r>
      <w:r w:rsidRPr="00A41CF3">
        <w:rPr>
          <w:b w:val="0"/>
          <w:i/>
          <w:color w:val="auto"/>
          <w:sz w:val="20"/>
          <w:szCs w:val="20"/>
        </w:rPr>
        <w:t>ess on Allocated Employment Sites</w:t>
      </w:r>
      <w:bookmarkEnd w:id="32"/>
      <w:bookmarkEnd w:id="33"/>
    </w:p>
    <w:p w14:paraId="56B24364" w14:textId="1EFC1163" w:rsidR="00FC7E11" w:rsidRDefault="7C707255" w:rsidP="00FC7E11">
      <w:pPr>
        <w:pStyle w:val="Heading2"/>
        <w:jc w:val="both"/>
      </w:pPr>
      <w:bookmarkStart w:id="34" w:name="_Toc141166604"/>
      <w:r>
        <w:t>Permissions granted</w:t>
      </w:r>
      <w:bookmarkEnd w:id="34"/>
    </w:p>
    <w:p w14:paraId="08AECFE7" w14:textId="2A28ADAB" w:rsidR="003439EE" w:rsidRPr="007D1480" w:rsidRDefault="00FC7E11" w:rsidP="005A1400">
      <w:pPr>
        <w:pStyle w:val="NoSpacing"/>
        <w:jc w:val="both"/>
        <w:rPr>
          <w:sz w:val="26"/>
          <w:szCs w:val="26"/>
        </w:rPr>
      </w:pPr>
      <w:r w:rsidRPr="00FC7E11">
        <w:rPr>
          <w:sz w:val="26"/>
          <w:szCs w:val="26"/>
        </w:rPr>
        <w:t>There</w:t>
      </w:r>
      <w:r>
        <w:rPr>
          <w:sz w:val="26"/>
          <w:szCs w:val="26"/>
        </w:rPr>
        <w:t xml:space="preserve"> w</w:t>
      </w:r>
      <w:r w:rsidR="00340E19">
        <w:rPr>
          <w:sz w:val="26"/>
          <w:szCs w:val="26"/>
        </w:rPr>
        <w:t>ere</w:t>
      </w:r>
      <w:r>
        <w:rPr>
          <w:sz w:val="26"/>
          <w:szCs w:val="26"/>
        </w:rPr>
        <w:t xml:space="preserve"> </w:t>
      </w:r>
      <w:r w:rsidR="00340E19">
        <w:rPr>
          <w:sz w:val="26"/>
          <w:szCs w:val="26"/>
        </w:rPr>
        <w:t xml:space="preserve">three </w:t>
      </w:r>
      <w:r>
        <w:rPr>
          <w:sz w:val="26"/>
          <w:szCs w:val="26"/>
        </w:rPr>
        <w:t>permission</w:t>
      </w:r>
      <w:r w:rsidR="00340E19">
        <w:rPr>
          <w:sz w:val="26"/>
          <w:szCs w:val="26"/>
        </w:rPr>
        <w:t>s</w:t>
      </w:r>
      <w:r>
        <w:rPr>
          <w:sz w:val="26"/>
          <w:szCs w:val="26"/>
        </w:rPr>
        <w:t xml:space="preserve"> </w:t>
      </w:r>
      <w:r w:rsidR="00E10F17">
        <w:rPr>
          <w:sz w:val="26"/>
          <w:szCs w:val="26"/>
        </w:rPr>
        <w:t>granted during the monitoring year which w</w:t>
      </w:r>
      <w:r w:rsidR="001637E7">
        <w:rPr>
          <w:sz w:val="26"/>
          <w:szCs w:val="26"/>
        </w:rPr>
        <w:t xml:space="preserve">ere </w:t>
      </w:r>
      <w:r w:rsidR="00E10F17">
        <w:rPr>
          <w:sz w:val="26"/>
          <w:szCs w:val="26"/>
        </w:rPr>
        <w:t xml:space="preserve">relatively small </w:t>
      </w:r>
      <w:r w:rsidR="00A42241">
        <w:rPr>
          <w:sz w:val="26"/>
          <w:szCs w:val="26"/>
        </w:rPr>
        <w:t>scale,</w:t>
      </w:r>
      <w:r w:rsidR="00374D25">
        <w:rPr>
          <w:sz w:val="26"/>
          <w:szCs w:val="26"/>
        </w:rPr>
        <w:t xml:space="preserve"> </w:t>
      </w:r>
      <w:r w:rsidR="007D1480" w:rsidRPr="007D1480">
        <w:rPr>
          <w:sz w:val="26"/>
          <w:szCs w:val="26"/>
        </w:rPr>
        <w:t xml:space="preserve">and no permissions were granted for large scale employment sites during 2022/23. </w:t>
      </w:r>
      <w:r w:rsidR="003439EE" w:rsidRPr="007D1480">
        <w:rPr>
          <w:sz w:val="26"/>
          <w:szCs w:val="26"/>
        </w:rPr>
        <w:t>The relative change in employment land has therefore been stated as the actual employment floorspace (in sqm) rather than site area (in ha) as that is a more appropriate measure of the scale of development.</w:t>
      </w:r>
    </w:p>
    <w:p w14:paraId="356A78EE" w14:textId="77777777" w:rsidR="003439EE" w:rsidRPr="00050036" w:rsidRDefault="003439EE" w:rsidP="005A1400">
      <w:pPr>
        <w:pStyle w:val="NoSpacing"/>
        <w:jc w:val="both"/>
        <w:rPr>
          <w:sz w:val="26"/>
          <w:szCs w:val="26"/>
        </w:rPr>
      </w:pPr>
    </w:p>
    <w:p w14:paraId="50AE1C26" w14:textId="60F8CDFD" w:rsidR="0032567C" w:rsidRDefault="00315A8F" w:rsidP="005A1400">
      <w:pPr>
        <w:pStyle w:val="NoSpacing"/>
        <w:jc w:val="both"/>
        <w:rPr>
          <w:sz w:val="26"/>
          <w:szCs w:val="26"/>
        </w:rPr>
      </w:pPr>
      <w:r w:rsidRPr="00050036">
        <w:rPr>
          <w:sz w:val="26"/>
          <w:szCs w:val="26"/>
        </w:rPr>
        <w:t>During 20</w:t>
      </w:r>
      <w:r w:rsidR="00816716" w:rsidRPr="00050036">
        <w:rPr>
          <w:sz w:val="26"/>
          <w:szCs w:val="26"/>
        </w:rPr>
        <w:t>22</w:t>
      </w:r>
      <w:r w:rsidRPr="00050036">
        <w:rPr>
          <w:sz w:val="26"/>
          <w:szCs w:val="26"/>
        </w:rPr>
        <w:t>/</w:t>
      </w:r>
      <w:r w:rsidR="00816716" w:rsidRPr="00050036">
        <w:rPr>
          <w:sz w:val="26"/>
          <w:szCs w:val="26"/>
        </w:rPr>
        <w:t>23</w:t>
      </w:r>
      <w:r w:rsidRPr="00050036">
        <w:rPr>
          <w:sz w:val="26"/>
          <w:szCs w:val="26"/>
        </w:rPr>
        <w:t xml:space="preserve">, planning permissions were granted which could result in </w:t>
      </w:r>
      <w:r w:rsidR="00B65791" w:rsidRPr="00050036">
        <w:rPr>
          <w:sz w:val="26"/>
          <w:szCs w:val="26"/>
        </w:rPr>
        <w:t>the</w:t>
      </w:r>
      <w:r w:rsidRPr="00050036">
        <w:rPr>
          <w:sz w:val="26"/>
          <w:szCs w:val="26"/>
        </w:rPr>
        <w:t xml:space="preserve"> loss of </w:t>
      </w:r>
      <w:r w:rsidR="00816716" w:rsidRPr="00050036">
        <w:rPr>
          <w:sz w:val="26"/>
          <w:szCs w:val="26"/>
        </w:rPr>
        <w:t>359</w:t>
      </w:r>
      <w:r w:rsidRPr="00050036">
        <w:rPr>
          <w:sz w:val="26"/>
          <w:szCs w:val="26"/>
        </w:rPr>
        <w:t xml:space="preserve"> sqm of floorspace for B class uses and a gain of </w:t>
      </w:r>
      <w:r w:rsidR="00816716" w:rsidRPr="00050036">
        <w:rPr>
          <w:sz w:val="26"/>
          <w:szCs w:val="26"/>
        </w:rPr>
        <w:t>1</w:t>
      </w:r>
      <w:r w:rsidRPr="00050036">
        <w:rPr>
          <w:sz w:val="26"/>
          <w:szCs w:val="26"/>
        </w:rPr>
        <w:t>,</w:t>
      </w:r>
      <w:r w:rsidR="00050036" w:rsidRPr="00050036">
        <w:rPr>
          <w:sz w:val="26"/>
          <w:szCs w:val="26"/>
        </w:rPr>
        <w:t>627</w:t>
      </w:r>
      <w:r w:rsidRPr="00050036">
        <w:rPr>
          <w:sz w:val="26"/>
          <w:szCs w:val="26"/>
        </w:rPr>
        <w:t xml:space="preserve"> sqm, giving a net gain of </w:t>
      </w:r>
      <w:r w:rsidR="00050036" w:rsidRPr="00050036">
        <w:rPr>
          <w:sz w:val="26"/>
          <w:szCs w:val="26"/>
        </w:rPr>
        <w:t>1</w:t>
      </w:r>
      <w:r w:rsidRPr="00050036">
        <w:rPr>
          <w:sz w:val="26"/>
          <w:szCs w:val="26"/>
        </w:rPr>
        <w:t>,</w:t>
      </w:r>
      <w:r w:rsidR="00050036" w:rsidRPr="00050036">
        <w:rPr>
          <w:sz w:val="26"/>
          <w:szCs w:val="26"/>
        </w:rPr>
        <w:t>484</w:t>
      </w:r>
      <w:r w:rsidRPr="00050036">
        <w:rPr>
          <w:sz w:val="26"/>
          <w:szCs w:val="26"/>
        </w:rPr>
        <w:t xml:space="preserve"> sqm.</w:t>
      </w:r>
      <w:r w:rsidR="00782409" w:rsidRPr="00050036">
        <w:rPr>
          <w:sz w:val="26"/>
          <w:szCs w:val="26"/>
        </w:rPr>
        <w:t xml:space="preserve"> </w:t>
      </w:r>
      <w:r w:rsidR="00983661">
        <w:rPr>
          <w:sz w:val="26"/>
          <w:szCs w:val="26"/>
        </w:rPr>
        <w:t xml:space="preserve">The permitted applications are </w:t>
      </w:r>
      <w:r w:rsidR="00F9181D">
        <w:rPr>
          <w:sz w:val="26"/>
          <w:szCs w:val="26"/>
        </w:rPr>
        <w:t xml:space="preserve">shown in </w:t>
      </w:r>
      <w:r w:rsidR="00A42241">
        <w:rPr>
          <w:sz w:val="26"/>
          <w:szCs w:val="26"/>
        </w:rPr>
        <w:t>T</w:t>
      </w:r>
      <w:r w:rsidR="00F9181D">
        <w:rPr>
          <w:sz w:val="26"/>
          <w:szCs w:val="26"/>
        </w:rPr>
        <w:t xml:space="preserve">able 5 below. </w:t>
      </w:r>
    </w:p>
    <w:p w14:paraId="4B945D9E" w14:textId="77777777" w:rsidR="00A12C85" w:rsidRDefault="00A12C85" w:rsidP="005A1400">
      <w:pPr>
        <w:pStyle w:val="NoSpacing"/>
        <w:jc w:val="both"/>
        <w:rPr>
          <w:sz w:val="26"/>
          <w:szCs w:val="26"/>
        </w:rPr>
      </w:pPr>
    </w:p>
    <w:p w14:paraId="43256061" w14:textId="77777777" w:rsidR="00A12C85" w:rsidRDefault="00A12C85" w:rsidP="005A1400">
      <w:pPr>
        <w:pStyle w:val="NoSpacing"/>
        <w:jc w:val="both"/>
        <w:rPr>
          <w:sz w:val="26"/>
          <w:szCs w:val="26"/>
        </w:rPr>
      </w:pPr>
    </w:p>
    <w:p w14:paraId="732CBC1C" w14:textId="77777777" w:rsidR="00A12C85" w:rsidRDefault="00A12C85" w:rsidP="005A1400">
      <w:pPr>
        <w:pStyle w:val="NoSpacing"/>
        <w:jc w:val="both"/>
        <w:rPr>
          <w:sz w:val="26"/>
          <w:szCs w:val="26"/>
        </w:rPr>
      </w:pPr>
    </w:p>
    <w:p w14:paraId="353C4B6F" w14:textId="77777777" w:rsidR="00A12C85" w:rsidRDefault="00A12C85" w:rsidP="005A1400">
      <w:pPr>
        <w:pStyle w:val="NoSpacing"/>
        <w:jc w:val="both"/>
        <w:rPr>
          <w:sz w:val="26"/>
          <w:szCs w:val="26"/>
        </w:rPr>
      </w:pPr>
    </w:p>
    <w:p w14:paraId="1AAD6302" w14:textId="77777777" w:rsidR="00A12C85" w:rsidRDefault="00A12C85" w:rsidP="005A1400">
      <w:pPr>
        <w:pStyle w:val="NoSpacing"/>
        <w:jc w:val="both"/>
        <w:rPr>
          <w:sz w:val="26"/>
          <w:szCs w:val="26"/>
        </w:rPr>
      </w:pPr>
    </w:p>
    <w:p w14:paraId="3157516A" w14:textId="77777777" w:rsidR="00A12C85" w:rsidRDefault="00A12C85" w:rsidP="005A1400">
      <w:pPr>
        <w:pStyle w:val="NoSpacing"/>
        <w:jc w:val="both"/>
        <w:rPr>
          <w:sz w:val="26"/>
          <w:szCs w:val="26"/>
        </w:rPr>
      </w:pPr>
    </w:p>
    <w:p w14:paraId="57C61B6E" w14:textId="77777777" w:rsidR="00A12C85" w:rsidRDefault="00A12C85" w:rsidP="005A1400">
      <w:pPr>
        <w:pStyle w:val="NoSpacing"/>
        <w:jc w:val="both"/>
        <w:rPr>
          <w:sz w:val="26"/>
          <w:szCs w:val="26"/>
        </w:rPr>
      </w:pPr>
    </w:p>
    <w:p w14:paraId="241BF96B" w14:textId="77777777" w:rsidR="00A12C85" w:rsidRPr="00050036" w:rsidRDefault="00A12C85" w:rsidP="005A1400">
      <w:pPr>
        <w:pStyle w:val="NoSpacing"/>
        <w:jc w:val="both"/>
        <w:rPr>
          <w:sz w:val="26"/>
          <w:szCs w:val="26"/>
        </w:rPr>
      </w:pPr>
    </w:p>
    <w:p w14:paraId="588E50B3" w14:textId="77777777" w:rsidR="00BD1A68" w:rsidRPr="00107B77" w:rsidRDefault="00BD1A68" w:rsidP="005A1400">
      <w:pPr>
        <w:pStyle w:val="NoSpacing"/>
        <w:jc w:val="both"/>
        <w:rPr>
          <w:sz w:val="26"/>
          <w:szCs w:val="26"/>
          <w:highlight w:val="yellow"/>
        </w:rPr>
      </w:pPr>
    </w:p>
    <w:tbl>
      <w:tblPr>
        <w:tblW w:w="7880" w:type="dxa"/>
        <w:tblCellMar>
          <w:top w:w="15" w:type="dxa"/>
          <w:bottom w:w="15" w:type="dxa"/>
        </w:tblCellMar>
        <w:tblLook w:val="04A0" w:firstRow="1" w:lastRow="0" w:firstColumn="1" w:lastColumn="0" w:noHBand="0" w:noVBand="1"/>
      </w:tblPr>
      <w:tblGrid>
        <w:gridCol w:w="1197"/>
        <w:gridCol w:w="2240"/>
        <w:gridCol w:w="1900"/>
        <w:gridCol w:w="700"/>
        <w:gridCol w:w="960"/>
        <w:gridCol w:w="960"/>
      </w:tblGrid>
      <w:tr w:rsidR="00745961" w:rsidRPr="00745961" w14:paraId="0F9F0F2E" w14:textId="77777777" w:rsidTr="00745961">
        <w:trPr>
          <w:trHeight w:val="915"/>
        </w:trPr>
        <w:tc>
          <w:tcPr>
            <w:tcW w:w="1120" w:type="dxa"/>
            <w:tcBorders>
              <w:top w:val="single" w:sz="4" w:space="0" w:color="000000"/>
              <w:left w:val="single" w:sz="4" w:space="0" w:color="000000"/>
              <w:bottom w:val="single" w:sz="4" w:space="0" w:color="000000"/>
              <w:right w:val="single" w:sz="4" w:space="0" w:color="000000"/>
            </w:tcBorders>
            <w:shd w:val="clear" w:color="000000" w:fill="B4C6E7"/>
            <w:vAlign w:val="center"/>
            <w:hideMark/>
          </w:tcPr>
          <w:p w14:paraId="221B0B25" w14:textId="77777777" w:rsidR="00745961" w:rsidRPr="00745961" w:rsidRDefault="00745961" w:rsidP="00745961">
            <w:pPr>
              <w:spacing w:after="0" w:line="240" w:lineRule="auto"/>
              <w:jc w:val="center"/>
              <w:rPr>
                <w:rFonts w:ascii="Calibri" w:eastAsia="Times New Roman" w:hAnsi="Calibri" w:cs="Calibri"/>
                <w:color w:val="000000"/>
                <w:lang w:eastAsia="en-GB"/>
              </w:rPr>
            </w:pPr>
            <w:bookmarkStart w:id="35" w:name="_Toc13586551"/>
            <w:bookmarkStart w:id="36" w:name="_Toc133397747"/>
            <w:r w:rsidRPr="00745961">
              <w:rPr>
                <w:rFonts w:ascii="Calibri" w:eastAsia="Times New Roman" w:hAnsi="Calibri" w:cs="Calibri"/>
                <w:color w:val="000000"/>
                <w:lang w:eastAsia="en-GB"/>
              </w:rPr>
              <w:lastRenderedPageBreak/>
              <w:t>Permission reference</w:t>
            </w:r>
          </w:p>
        </w:tc>
        <w:tc>
          <w:tcPr>
            <w:tcW w:w="224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02873CDF"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Proposal</w:t>
            </w:r>
          </w:p>
        </w:tc>
        <w:tc>
          <w:tcPr>
            <w:tcW w:w="19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1936F3DB"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Location</w:t>
            </w:r>
          </w:p>
        </w:tc>
        <w:tc>
          <w:tcPr>
            <w:tcW w:w="700" w:type="dxa"/>
            <w:tcBorders>
              <w:top w:val="single" w:sz="4" w:space="0" w:color="000000"/>
              <w:left w:val="single" w:sz="4" w:space="0" w:color="000000"/>
              <w:bottom w:val="single" w:sz="4" w:space="0" w:color="000000"/>
              <w:right w:val="single" w:sz="4" w:space="0" w:color="000000"/>
            </w:tcBorders>
            <w:shd w:val="clear" w:color="000000" w:fill="B4C6E7"/>
            <w:vAlign w:val="center"/>
            <w:hideMark/>
          </w:tcPr>
          <w:p w14:paraId="6C35DEEB"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B Class loss</w:t>
            </w:r>
          </w:p>
        </w:tc>
        <w:tc>
          <w:tcPr>
            <w:tcW w:w="960" w:type="dxa"/>
            <w:tcBorders>
              <w:top w:val="single" w:sz="4" w:space="0" w:color="000000"/>
              <w:left w:val="single" w:sz="4" w:space="0" w:color="000000"/>
              <w:bottom w:val="single" w:sz="4" w:space="0" w:color="000000"/>
              <w:right w:val="single" w:sz="4" w:space="0" w:color="000000"/>
            </w:tcBorders>
            <w:shd w:val="clear" w:color="000000" w:fill="B4C6E7"/>
            <w:vAlign w:val="center"/>
            <w:hideMark/>
          </w:tcPr>
          <w:p w14:paraId="69B5BD5A"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B Class gain</w:t>
            </w:r>
          </w:p>
        </w:tc>
        <w:tc>
          <w:tcPr>
            <w:tcW w:w="960" w:type="dxa"/>
            <w:tcBorders>
              <w:top w:val="single" w:sz="4" w:space="0" w:color="000000"/>
              <w:left w:val="single" w:sz="4" w:space="0" w:color="000000"/>
              <w:bottom w:val="single" w:sz="4" w:space="0" w:color="000000"/>
              <w:right w:val="single" w:sz="4" w:space="0" w:color="000000"/>
            </w:tcBorders>
            <w:shd w:val="clear" w:color="000000" w:fill="B4C6E7"/>
            <w:vAlign w:val="center"/>
            <w:hideMark/>
          </w:tcPr>
          <w:p w14:paraId="7C2E19C2"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B Class net change</w:t>
            </w:r>
          </w:p>
        </w:tc>
      </w:tr>
      <w:tr w:rsidR="00745961" w:rsidRPr="00745961" w14:paraId="13373ED4" w14:textId="77777777" w:rsidTr="00745961">
        <w:trPr>
          <w:trHeight w:val="2430"/>
        </w:trPr>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4161A2C" w14:textId="77777777"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0280/2022</w:t>
            </w:r>
          </w:p>
        </w:tc>
        <w:tc>
          <w:tcPr>
            <w:tcW w:w="2240" w:type="dxa"/>
            <w:tcBorders>
              <w:top w:val="single" w:sz="4" w:space="0" w:color="000000"/>
              <w:left w:val="single" w:sz="4" w:space="0" w:color="000000"/>
              <w:bottom w:val="single" w:sz="4" w:space="0" w:color="000000"/>
              <w:right w:val="single" w:sz="4" w:space="0" w:color="000000"/>
            </w:tcBorders>
            <w:hideMark/>
          </w:tcPr>
          <w:p w14:paraId="3EF6E83F" w14:textId="106D65C1"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Demolition of warehouse and erection of new replacement portal frame warehouse, revised parking and new retaining wall to the southern boundary.</w:t>
            </w:r>
          </w:p>
        </w:tc>
        <w:tc>
          <w:tcPr>
            <w:tcW w:w="1900" w:type="dxa"/>
            <w:tcBorders>
              <w:top w:val="single" w:sz="4" w:space="0" w:color="000000"/>
              <w:left w:val="single" w:sz="4" w:space="0" w:color="000000"/>
              <w:bottom w:val="single" w:sz="4" w:space="0" w:color="000000"/>
              <w:right w:val="single" w:sz="4" w:space="0" w:color="000000"/>
            </w:tcBorders>
            <w:hideMark/>
          </w:tcPr>
          <w:p w14:paraId="21387FB2" w14:textId="2B2303A9"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 xml:space="preserve">Unit 1 And 2 Sandy Way, </w:t>
            </w:r>
            <w:proofErr w:type="spellStart"/>
            <w:r w:rsidRPr="00745961">
              <w:rPr>
                <w:rFonts w:ascii="Calibri" w:eastAsia="Times New Roman" w:hAnsi="Calibri" w:cs="Calibri"/>
                <w:color w:val="000000"/>
                <w:lang w:eastAsia="en-GB"/>
              </w:rPr>
              <w:t>Amington</w:t>
            </w:r>
            <w:proofErr w:type="spellEnd"/>
            <w:r w:rsidRPr="00745961">
              <w:rPr>
                <w:rFonts w:ascii="Calibri" w:eastAsia="Times New Roman" w:hAnsi="Calibri" w:cs="Calibri"/>
                <w:color w:val="000000"/>
                <w:lang w:eastAsia="en-GB"/>
              </w:rPr>
              <w:t xml:space="preserve"> Industrial Estate</w:t>
            </w:r>
          </w:p>
        </w:tc>
        <w:tc>
          <w:tcPr>
            <w:tcW w:w="700" w:type="dxa"/>
            <w:tcBorders>
              <w:top w:val="single" w:sz="4" w:space="0" w:color="000000"/>
              <w:left w:val="single" w:sz="4" w:space="0" w:color="000000"/>
              <w:bottom w:val="single" w:sz="4" w:space="0" w:color="000000"/>
              <w:right w:val="single" w:sz="4" w:space="0" w:color="000000"/>
            </w:tcBorders>
            <w:noWrap/>
            <w:vAlign w:val="center"/>
            <w:hideMark/>
          </w:tcPr>
          <w:p w14:paraId="0F879C18"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251</w:t>
            </w:r>
          </w:p>
        </w:tc>
        <w:tc>
          <w:tcPr>
            <w:tcW w:w="960" w:type="dxa"/>
            <w:tcBorders>
              <w:top w:val="single" w:sz="4" w:space="0" w:color="000000"/>
              <w:left w:val="single" w:sz="4" w:space="0" w:color="000000"/>
              <w:bottom w:val="single" w:sz="4" w:space="0" w:color="000000"/>
              <w:right w:val="single" w:sz="4" w:space="0" w:color="000000"/>
            </w:tcBorders>
            <w:noWrap/>
            <w:vAlign w:val="center"/>
            <w:hideMark/>
          </w:tcPr>
          <w:p w14:paraId="607C02AF"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373</w:t>
            </w:r>
          </w:p>
        </w:tc>
        <w:tc>
          <w:tcPr>
            <w:tcW w:w="960" w:type="dxa"/>
            <w:tcBorders>
              <w:top w:val="single" w:sz="4" w:space="0" w:color="000000"/>
              <w:left w:val="single" w:sz="4" w:space="0" w:color="000000"/>
              <w:bottom w:val="single" w:sz="4" w:space="0" w:color="000000"/>
              <w:right w:val="single" w:sz="4" w:space="0" w:color="000000"/>
            </w:tcBorders>
            <w:noWrap/>
            <w:vAlign w:val="center"/>
            <w:hideMark/>
          </w:tcPr>
          <w:p w14:paraId="107FD5BC"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122</w:t>
            </w:r>
          </w:p>
        </w:tc>
      </w:tr>
      <w:tr w:rsidR="00745961" w:rsidRPr="00745961" w14:paraId="73DE07A5" w14:textId="77777777" w:rsidTr="00745961">
        <w:trPr>
          <w:trHeight w:val="1830"/>
        </w:trPr>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14:paraId="497200F7" w14:textId="77777777"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0463/2022</w:t>
            </w:r>
          </w:p>
        </w:tc>
        <w:tc>
          <w:tcPr>
            <w:tcW w:w="2240" w:type="dxa"/>
            <w:tcBorders>
              <w:top w:val="single" w:sz="4" w:space="0" w:color="000000"/>
              <w:left w:val="single" w:sz="4" w:space="0" w:color="000000"/>
              <w:bottom w:val="nil"/>
              <w:right w:val="single" w:sz="4" w:space="0" w:color="000000"/>
            </w:tcBorders>
            <w:shd w:val="clear" w:color="000000" w:fill="FFFFFF"/>
            <w:hideMark/>
          </w:tcPr>
          <w:p w14:paraId="359BD52E" w14:textId="77777777"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Change of Use from retail (E class) to general industry (B2 class) MOT Services (retrospective)</w:t>
            </w:r>
          </w:p>
        </w:tc>
        <w:tc>
          <w:tcPr>
            <w:tcW w:w="1900" w:type="dxa"/>
            <w:tcBorders>
              <w:top w:val="single" w:sz="4" w:space="0" w:color="000000"/>
              <w:left w:val="single" w:sz="4" w:space="0" w:color="000000"/>
              <w:bottom w:val="nil"/>
              <w:right w:val="single" w:sz="4" w:space="0" w:color="000000"/>
            </w:tcBorders>
            <w:shd w:val="clear" w:color="000000" w:fill="FFFFFF"/>
            <w:hideMark/>
          </w:tcPr>
          <w:p w14:paraId="364E0A32" w14:textId="795042F5"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Unit 2 Beauchamp Industrial Park</w:t>
            </w:r>
            <w:r w:rsidRPr="00745961">
              <w:rPr>
                <w:rFonts w:ascii="Calibri" w:eastAsia="Times New Roman" w:hAnsi="Calibri" w:cs="Calibri"/>
                <w:color w:val="000000"/>
                <w:lang w:eastAsia="en-GB"/>
              </w:rPr>
              <w:br/>
              <w:t>Watling Street</w:t>
            </w:r>
            <w:r w:rsidRPr="00745961">
              <w:rPr>
                <w:rFonts w:ascii="Calibri" w:eastAsia="Times New Roman" w:hAnsi="Calibri" w:cs="Calibri"/>
                <w:color w:val="000000"/>
                <w:lang w:eastAsia="en-GB"/>
              </w:rPr>
              <w:br/>
              <w:t>Two Gates</w:t>
            </w:r>
            <w:r w:rsidRPr="00745961">
              <w:rPr>
                <w:rFonts w:ascii="Calibri" w:eastAsia="Times New Roman" w:hAnsi="Calibri" w:cs="Calibri"/>
                <w:color w:val="000000"/>
                <w:lang w:eastAsia="en-GB"/>
              </w:rPr>
              <w:br/>
            </w:r>
          </w:p>
        </w:tc>
        <w:tc>
          <w:tcPr>
            <w:tcW w:w="7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E9FAC0"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108</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4588BE"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9BB790"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108</w:t>
            </w:r>
          </w:p>
        </w:tc>
      </w:tr>
      <w:tr w:rsidR="00745961" w:rsidRPr="00745961" w14:paraId="46E98537" w14:textId="77777777" w:rsidTr="00745961">
        <w:trPr>
          <w:trHeight w:val="1740"/>
        </w:trPr>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D83A35"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0337/2020</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hideMark/>
          </w:tcPr>
          <w:p w14:paraId="2D3DC112" w14:textId="77777777"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Construction of new 2 storey office building with associated multi storey car park</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hideMark/>
          </w:tcPr>
          <w:p w14:paraId="3524A3C2" w14:textId="7DE119C1" w:rsidR="00745961" w:rsidRPr="00745961" w:rsidRDefault="00745961" w:rsidP="00745961">
            <w:pPr>
              <w:spacing w:after="0" w:line="240" w:lineRule="auto"/>
              <w:rPr>
                <w:rFonts w:ascii="Calibri" w:eastAsia="Times New Roman" w:hAnsi="Calibri" w:cs="Calibri"/>
                <w:color w:val="000000"/>
                <w:lang w:eastAsia="en-GB"/>
              </w:rPr>
            </w:pPr>
            <w:r w:rsidRPr="00745961">
              <w:rPr>
                <w:rFonts w:ascii="Calibri" w:eastAsia="Times New Roman" w:hAnsi="Calibri" w:cs="Calibri"/>
                <w:color w:val="000000"/>
                <w:lang w:eastAsia="en-GB"/>
              </w:rPr>
              <w:t xml:space="preserve">Sandy Hill Business Park, Sandy Way, </w:t>
            </w:r>
            <w:proofErr w:type="spellStart"/>
            <w:r w:rsidRPr="00745961">
              <w:rPr>
                <w:rFonts w:ascii="Calibri" w:eastAsia="Times New Roman" w:hAnsi="Calibri" w:cs="Calibri"/>
                <w:color w:val="000000"/>
                <w:lang w:eastAsia="en-GB"/>
              </w:rPr>
              <w:t>Amington</w:t>
            </w:r>
            <w:proofErr w:type="spellEnd"/>
            <w:r w:rsidRPr="00745961">
              <w:rPr>
                <w:rFonts w:ascii="Calibri" w:eastAsia="Times New Roman" w:hAnsi="Calibri" w:cs="Calibri"/>
                <w:color w:val="000000"/>
                <w:lang w:eastAsia="en-GB"/>
              </w:rPr>
              <w:t xml:space="preserve"> Industrial Estate</w:t>
            </w:r>
          </w:p>
        </w:tc>
        <w:tc>
          <w:tcPr>
            <w:tcW w:w="700" w:type="dxa"/>
            <w:tcBorders>
              <w:top w:val="single" w:sz="4" w:space="0" w:color="000000"/>
              <w:left w:val="single" w:sz="4" w:space="0" w:color="000000"/>
              <w:bottom w:val="nil"/>
              <w:right w:val="single" w:sz="4" w:space="0" w:color="000000"/>
            </w:tcBorders>
            <w:shd w:val="clear" w:color="000000" w:fill="FFFFFF"/>
            <w:noWrap/>
            <w:vAlign w:val="center"/>
            <w:hideMark/>
          </w:tcPr>
          <w:p w14:paraId="59AB299C"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0</w:t>
            </w:r>
          </w:p>
        </w:tc>
        <w:tc>
          <w:tcPr>
            <w:tcW w:w="960" w:type="dxa"/>
            <w:tcBorders>
              <w:top w:val="single" w:sz="4" w:space="0" w:color="000000"/>
              <w:left w:val="single" w:sz="4" w:space="0" w:color="000000"/>
              <w:bottom w:val="nil"/>
              <w:right w:val="single" w:sz="4" w:space="0" w:color="000000"/>
            </w:tcBorders>
            <w:shd w:val="clear" w:color="000000" w:fill="FFFFFF"/>
            <w:noWrap/>
            <w:vAlign w:val="center"/>
            <w:hideMark/>
          </w:tcPr>
          <w:p w14:paraId="1668213D"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1254</w:t>
            </w:r>
          </w:p>
        </w:tc>
        <w:tc>
          <w:tcPr>
            <w:tcW w:w="960" w:type="dxa"/>
            <w:tcBorders>
              <w:top w:val="single" w:sz="4" w:space="0" w:color="000000"/>
              <w:left w:val="single" w:sz="4" w:space="0" w:color="000000"/>
              <w:bottom w:val="nil"/>
              <w:right w:val="single" w:sz="4" w:space="0" w:color="000000"/>
            </w:tcBorders>
            <w:shd w:val="clear" w:color="000000" w:fill="FFFFFF"/>
            <w:noWrap/>
            <w:vAlign w:val="center"/>
            <w:hideMark/>
          </w:tcPr>
          <w:p w14:paraId="33CFD34A" w14:textId="77777777" w:rsidR="00745961" w:rsidRPr="00745961" w:rsidRDefault="00745961" w:rsidP="00745961">
            <w:pPr>
              <w:spacing w:after="0" w:line="240" w:lineRule="auto"/>
              <w:jc w:val="center"/>
              <w:rPr>
                <w:rFonts w:ascii="Calibri" w:eastAsia="Times New Roman" w:hAnsi="Calibri" w:cs="Calibri"/>
                <w:color w:val="000000"/>
                <w:lang w:eastAsia="en-GB"/>
              </w:rPr>
            </w:pPr>
            <w:r w:rsidRPr="00745961">
              <w:rPr>
                <w:rFonts w:ascii="Calibri" w:eastAsia="Times New Roman" w:hAnsi="Calibri" w:cs="Calibri"/>
                <w:color w:val="000000"/>
                <w:lang w:eastAsia="en-GB"/>
              </w:rPr>
              <w:t>1254</w:t>
            </w:r>
          </w:p>
        </w:tc>
      </w:tr>
      <w:tr w:rsidR="00745961" w:rsidRPr="00745961" w14:paraId="524BDE93" w14:textId="77777777" w:rsidTr="00745961">
        <w:trPr>
          <w:trHeight w:val="300"/>
        </w:trPr>
        <w:tc>
          <w:tcPr>
            <w:tcW w:w="1120" w:type="dxa"/>
            <w:tcBorders>
              <w:top w:val="nil"/>
              <w:left w:val="nil"/>
              <w:bottom w:val="nil"/>
              <w:right w:val="nil"/>
            </w:tcBorders>
            <w:noWrap/>
            <w:vAlign w:val="bottom"/>
            <w:hideMark/>
          </w:tcPr>
          <w:p w14:paraId="07A865D3" w14:textId="77777777" w:rsidR="00745961" w:rsidRPr="00745961" w:rsidRDefault="00745961" w:rsidP="00745961">
            <w:pPr>
              <w:spacing w:after="0" w:line="240" w:lineRule="auto"/>
              <w:jc w:val="center"/>
              <w:rPr>
                <w:rFonts w:ascii="Calibri" w:eastAsia="Times New Roman" w:hAnsi="Calibri" w:cs="Calibri"/>
                <w:color w:val="000000"/>
                <w:lang w:eastAsia="en-GB"/>
              </w:rPr>
            </w:pPr>
          </w:p>
        </w:tc>
        <w:tc>
          <w:tcPr>
            <w:tcW w:w="2240" w:type="dxa"/>
            <w:tcBorders>
              <w:top w:val="nil"/>
              <w:left w:val="nil"/>
              <w:bottom w:val="nil"/>
              <w:right w:val="nil"/>
            </w:tcBorders>
            <w:noWrap/>
            <w:vAlign w:val="bottom"/>
            <w:hideMark/>
          </w:tcPr>
          <w:p w14:paraId="62571722" w14:textId="77777777" w:rsidR="00745961" w:rsidRPr="00745961" w:rsidRDefault="00745961" w:rsidP="00745961">
            <w:pPr>
              <w:spacing w:after="0" w:line="240" w:lineRule="auto"/>
              <w:rPr>
                <w:rFonts w:ascii="Times New Roman" w:eastAsia="Times New Roman" w:hAnsi="Times New Roman" w:cs="Times New Roman"/>
                <w:sz w:val="20"/>
                <w:szCs w:val="20"/>
                <w:lang w:eastAsia="en-GB"/>
              </w:rPr>
            </w:pPr>
          </w:p>
        </w:tc>
        <w:tc>
          <w:tcPr>
            <w:tcW w:w="1900" w:type="dxa"/>
            <w:tcBorders>
              <w:top w:val="nil"/>
              <w:left w:val="nil"/>
              <w:bottom w:val="nil"/>
              <w:right w:val="nil"/>
            </w:tcBorders>
            <w:noWrap/>
            <w:vAlign w:val="bottom"/>
            <w:hideMark/>
          </w:tcPr>
          <w:p w14:paraId="421F5821" w14:textId="77777777" w:rsidR="00745961" w:rsidRPr="00745961" w:rsidRDefault="00745961" w:rsidP="00745961">
            <w:pPr>
              <w:spacing w:after="0" w:line="240" w:lineRule="auto"/>
              <w:rPr>
                <w:rFonts w:ascii="Times New Roman" w:eastAsia="Times New Roman" w:hAnsi="Times New Roman" w:cs="Times New Roman"/>
                <w:sz w:val="20"/>
                <w:szCs w:val="20"/>
                <w:lang w:eastAsia="en-GB"/>
              </w:rPr>
            </w:pPr>
          </w:p>
        </w:tc>
        <w:tc>
          <w:tcPr>
            <w:tcW w:w="700" w:type="dxa"/>
            <w:tcBorders>
              <w:top w:val="single" w:sz="4" w:space="0" w:color="000000"/>
              <w:left w:val="single" w:sz="4" w:space="0" w:color="000000"/>
              <w:bottom w:val="single" w:sz="4" w:space="0" w:color="000000"/>
              <w:right w:val="single" w:sz="4" w:space="0" w:color="000000"/>
            </w:tcBorders>
            <w:noWrap/>
            <w:vAlign w:val="bottom"/>
            <w:hideMark/>
          </w:tcPr>
          <w:p w14:paraId="4784CF97" w14:textId="77777777" w:rsidR="00745961" w:rsidRPr="00745961" w:rsidRDefault="00745961" w:rsidP="00745961">
            <w:pPr>
              <w:spacing w:after="0" w:line="240" w:lineRule="auto"/>
              <w:jc w:val="center"/>
              <w:rPr>
                <w:rFonts w:ascii="Calibri" w:eastAsia="Times New Roman" w:hAnsi="Calibri" w:cs="Calibri"/>
                <w:b/>
                <w:bCs/>
                <w:color w:val="000000"/>
                <w:lang w:eastAsia="en-GB"/>
              </w:rPr>
            </w:pPr>
            <w:r w:rsidRPr="00745961">
              <w:rPr>
                <w:rFonts w:ascii="Calibri" w:eastAsia="Times New Roman" w:hAnsi="Calibri" w:cs="Calibri"/>
                <w:b/>
                <w:bCs/>
                <w:color w:val="000000"/>
                <w:lang w:eastAsia="en-GB"/>
              </w:rPr>
              <w:t>359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D1CB962" w14:textId="77777777" w:rsidR="00745961" w:rsidRPr="00745961" w:rsidRDefault="00745961" w:rsidP="00745961">
            <w:pPr>
              <w:spacing w:after="0" w:line="240" w:lineRule="auto"/>
              <w:jc w:val="center"/>
              <w:rPr>
                <w:rFonts w:ascii="Calibri" w:eastAsia="Times New Roman" w:hAnsi="Calibri" w:cs="Calibri"/>
                <w:b/>
                <w:bCs/>
                <w:color w:val="000000"/>
                <w:lang w:eastAsia="en-GB"/>
              </w:rPr>
            </w:pPr>
            <w:r w:rsidRPr="00745961">
              <w:rPr>
                <w:rFonts w:ascii="Calibri" w:eastAsia="Times New Roman" w:hAnsi="Calibri" w:cs="Calibri"/>
                <w:b/>
                <w:bCs/>
                <w:color w:val="000000"/>
                <w:lang w:eastAsia="en-GB"/>
              </w:rPr>
              <w:t>1627</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200C329" w14:textId="77777777" w:rsidR="00745961" w:rsidRPr="00745961" w:rsidRDefault="00745961" w:rsidP="00745961">
            <w:pPr>
              <w:spacing w:after="0" w:line="240" w:lineRule="auto"/>
              <w:jc w:val="center"/>
              <w:rPr>
                <w:rFonts w:ascii="Calibri" w:eastAsia="Times New Roman" w:hAnsi="Calibri" w:cs="Calibri"/>
                <w:b/>
                <w:bCs/>
                <w:color w:val="000000"/>
                <w:lang w:eastAsia="en-GB"/>
              </w:rPr>
            </w:pPr>
            <w:r w:rsidRPr="00745961">
              <w:rPr>
                <w:rFonts w:ascii="Calibri" w:eastAsia="Times New Roman" w:hAnsi="Calibri" w:cs="Calibri"/>
                <w:b/>
                <w:bCs/>
                <w:color w:val="000000"/>
                <w:lang w:eastAsia="en-GB"/>
              </w:rPr>
              <w:t>1484</w:t>
            </w:r>
          </w:p>
        </w:tc>
      </w:tr>
    </w:tbl>
    <w:p w14:paraId="382F7447" w14:textId="05A6AA8B" w:rsidR="00B65791" w:rsidRPr="00411A89" w:rsidRDefault="0032567C" w:rsidP="00411A89">
      <w:pPr>
        <w:pStyle w:val="Caption"/>
        <w:rPr>
          <w:rFonts w:ascii="Calibri" w:hAnsi="Calibri"/>
          <w:b w:val="0"/>
          <w:i/>
          <w:color w:val="auto"/>
          <w:sz w:val="20"/>
          <w:szCs w:val="20"/>
        </w:rPr>
      </w:pPr>
      <w:r w:rsidRPr="005819B6">
        <w:rPr>
          <w:rFonts w:ascii="Calibri" w:hAnsi="Calibri"/>
          <w:b w:val="0"/>
          <w:i/>
          <w:color w:val="auto"/>
          <w:sz w:val="20"/>
          <w:szCs w:val="20"/>
        </w:rPr>
        <w:t xml:space="preserve">Table </w:t>
      </w:r>
      <w:r w:rsidR="000C0FD0">
        <w:rPr>
          <w:rFonts w:ascii="Calibri" w:hAnsi="Calibri"/>
          <w:b w:val="0"/>
          <w:i/>
          <w:color w:val="auto"/>
          <w:sz w:val="20"/>
          <w:szCs w:val="20"/>
        </w:rPr>
        <w:fldChar w:fldCharType="begin"/>
      </w:r>
      <w:r w:rsidR="000C0FD0">
        <w:rPr>
          <w:rFonts w:ascii="Calibri" w:hAnsi="Calibri"/>
          <w:b w:val="0"/>
          <w:i/>
          <w:color w:val="auto"/>
          <w:sz w:val="20"/>
          <w:szCs w:val="20"/>
        </w:rPr>
        <w:instrText xml:space="preserve"> SEQ Table \* ARABIC </w:instrText>
      </w:r>
      <w:r w:rsidR="000C0FD0">
        <w:rPr>
          <w:rFonts w:ascii="Calibri" w:hAnsi="Calibri"/>
          <w:b w:val="0"/>
          <w:i/>
          <w:color w:val="auto"/>
          <w:sz w:val="20"/>
          <w:szCs w:val="20"/>
        </w:rPr>
        <w:fldChar w:fldCharType="separate"/>
      </w:r>
      <w:r w:rsidR="00782072">
        <w:rPr>
          <w:rFonts w:ascii="Calibri" w:hAnsi="Calibri"/>
          <w:b w:val="0"/>
          <w:i/>
          <w:noProof/>
          <w:color w:val="auto"/>
          <w:sz w:val="20"/>
          <w:szCs w:val="20"/>
        </w:rPr>
        <w:t>5</w:t>
      </w:r>
      <w:r w:rsidR="000C0FD0">
        <w:rPr>
          <w:rFonts w:ascii="Calibri" w:hAnsi="Calibri"/>
          <w:b w:val="0"/>
          <w:i/>
          <w:color w:val="auto"/>
          <w:sz w:val="20"/>
          <w:szCs w:val="20"/>
        </w:rPr>
        <w:fldChar w:fldCharType="end"/>
      </w:r>
      <w:r w:rsidRPr="005819B6">
        <w:rPr>
          <w:rFonts w:ascii="Calibri" w:hAnsi="Calibri"/>
          <w:b w:val="0"/>
          <w:i/>
          <w:color w:val="auto"/>
          <w:sz w:val="20"/>
          <w:szCs w:val="20"/>
        </w:rPr>
        <w:t>: 20</w:t>
      </w:r>
      <w:r w:rsidR="004F10BC">
        <w:rPr>
          <w:rFonts w:ascii="Calibri" w:hAnsi="Calibri"/>
          <w:b w:val="0"/>
          <w:i/>
          <w:color w:val="auto"/>
          <w:sz w:val="20"/>
          <w:szCs w:val="20"/>
        </w:rPr>
        <w:t>22</w:t>
      </w:r>
      <w:r w:rsidRPr="005819B6">
        <w:rPr>
          <w:rFonts w:ascii="Calibri" w:hAnsi="Calibri"/>
          <w:b w:val="0"/>
          <w:i/>
          <w:color w:val="auto"/>
          <w:sz w:val="20"/>
          <w:szCs w:val="20"/>
        </w:rPr>
        <w:t>/</w:t>
      </w:r>
      <w:r w:rsidR="004F10BC">
        <w:rPr>
          <w:rFonts w:ascii="Calibri" w:hAnsi="Calibri"/>
          <w:b w:val="0"/>
          <w:i/>
          <w:color w:val="auto"/>
          <w:sz w:val="20"/>
          <w:szCs w:val="20"/>
        </w:rPr>
        <w:t>23</w:t>
      </w:r>
      <w:r w:rsidRPr="005819B6">
        <w:rPr>
          <w:rFonts w:ascii="Calibri" w:hAnsi="Calibri"/>
          <w:b w:val="0"/>
          <w:i/>
          <w:color w:val="auto"/>
          <w:sz w:val="20"/>
          <w:szCs w:val="20"/>
        </w:rPr>
        <w:t xml:space="preserve"> B Class permissions granted</w:t>
      </w:r>
      <w:bookmarkEnd w:id="35"/>
      <w:bookmarkEnd w:id="36"/>
    </w:p>
    <w:p w14:paraId="1AF1C10D" w14:textId="536646C3" w:rsidR="00E63FC1" w:rsidRDefault="00BD1A68" w:rsidP="00E63FC1">
      <w:pPr>
        <w:pStyle w:val="NoSpacing"/>
        <w:jc w:val="both"/>
        <w:rPr>
          <w:sz w:val="26"/>
          <w:szCs w:val="26"/>
        </w:rPr>
      </w:pPr>
      <w:r w:rsidRPr="00D76AFD">
        <w:rPr>
          <w:sz w:val="26"/>
          <w:szCs w:val="26"/>
        </w:rPr>
        <w:t>Delivery of employment sites is significantly slower than for residential sites</w:t>
      </w:r>
      <w:r w:rsidR="00527E8F" w:rsidRPr="00D76AFD">
        <w:rPr>
          <w:sz w:val="26"/>
          <w:szCs w:val="26"/>
        </w:rPr>
        <w:t>, which</w:t>
      </w:r>
      <w:r w:rsidRPr="00D76AFD">
        <w:rPr>
          <w:sz w:val="26"/>
          <w:szCs w:val="26"/>
        </w:rPr>
        <w:t xml:space="preserve"> </w:t>
      </w:r>
      <w:r w:rsidR="00D76AFD" w:rsidRPr="00D76AFD">
        <w:rPr>
          <w:sz w:val="26"/>
          <w:szCs w:val="26"/>
        </w:rPr>
        <w:t>remains</w:t>
      </w:r>
      <w:r w:rsidRPr="00D76AFD">
        <w:rPr>
          <w:sz w:val="26"/>
          <w:szCs w:val="26"/>
        </w:rPr>
        <w:t xml:space="preserve"> in line with a broader national trend</w:t>
      </w:r>
      <w:r w:rsidR="00527E8F" w:rsidRPr="00D76AFD">
        <w:rPr>
          <w:sz w:val="26"/>
          <w:szCs w:val="26"/>
        </w:rPr>
        <w:t>.</w:t>
      </w:r>
      <w:r w:rsidR="00931B6F" w:rsidRPr="00D76AFD">
        <w:rPr>
          <w:sz w:val="26"/>
          <w:szCs w:val="26"/>
        </w:rPr>
        <w:t xml:space="preserve"> </w:t>
      </w:r>
      <w:r w:rsidR="00A1456A">
        <w:rPr>
          <w:sz w:val="26"/>
          <w:szCs w:val="26"/>
        </w:rPr>
        <w:t xml:space="preserve">Nationally, the number of applications for both major and minor residential developments was on an upward trend until </w:t>
      </w:r>
      <w:r w:rsidR="006C322A">
        <w:rPr>
          <w:sz w:val="26"/>
          <w:szCs w:val="26"/>
        </w:rPr>
        <w:t xml:space="preserve">the </w:t>
      </w:r>
      <w:r w:rsidR="00541E99">
        <w:rPr>
          <w:sz w:val="26"/>
          <w:szCs w:val="26"/>
        </w:rPr>
        <w:t>second quarter of 2016</w:t>
      </w:r>
      <w:r w:rsidR="009B6A1F">
        <w:rPr>
          <w:sz w:val="26"/>
          <w:szCs w:val="26"/>
        </w:rPr>
        <w:t>.</w:t>
      </w:r>
      <w:r w:rsidR="00685F7C">
        <w:rPr>
          <w:sz w:val="26"/>
          <w:szCs w:val="26"/>
        </w:rPr>
        <w:t xml:space="preserve"> The number for major commercial developments has remained at a low level and minor commercial </w:t>
      </w:r>
      <w:r w:rsidR="00774E0F">
        <w:rPr>
          <w:sz w:val="26"/>
          <w:szCs w:val="26"/>
        </w:rPr>
        <w:t xml:space="preserve">applications are steadily decreasing (see Figure 5 below). </w:t>
      </w:r>
      <w:r w:rsidR="009B6A1F">
        <w:rPr>
          <w:sz w:val="26"/>
          <w:szCs w:val="26"/>
        </w:rPr>
        <w:t xml:space="preserve"> </w:t>
      </w:r>
      <w:bookmarkStart w:id="37" w:name="_Toc133397772"/>
    </w:p>
    <w:p w14:paraId="4D81AF6F" w14:textId="77777777" w:rsidR="007767A6" w:rsidRDefault="007767A6" w:rsidP="00E63FC1">
      <w:pPr>
        <w:pStyle w:val="NoSpacing"/>
        <w:jc w:val="both"/>
        <w:rPr>
          <w:sz w:val="26"/>
          <w:szCs w:val="26"/>
        </w:rPr>
      </w:pPr>
    </w:p>
    <w:p w14:paraId="02138EF5" w14:textId="77777777" w:rsidR="007767A6" w:rsidRDefault="007767A6" w:rsidP="00E63FC1">
      <w:pPr>
        <w:pStyle w:val="NoSpacing"/>
        <w:jc w:val="both"/>
        <w:rPr>
          <w:sz w:val="26"/>
          <w:szCs w:val="26"/>
        </w:rPr>
      </w:pPr>
    </w:p>
    <w:p w14:paraId="52AC5220" w14:textId="77777777" w:rsidR="007767A6" w:rsidRDefault="007767A6" w:rsidP="00E63FC1">
      <w:pPr>
        <w:pStyle w:val="NoSpacing"/>
        <w:jc w:val="both"/>
        <w:rPr>
          <w:sz w:val="26"/>
          <w:szCs w:val="26"/>
        </w:rPr>
      </w:pPr>
    </w:p>
    <w:p w14:paraId="5DA587DE" w14:textId="77777777" w:rsidR="007767A6" w:rsidRDefault="007767A6" w:rsidP="00E63FC1">
      <w:pPr>
        <w:pStyle w:val="NoSpacing"/>
        <w:jc w:val="both"/>
        <w:rPr>
          <w:sz w:val="26"/>
          <w:szCs w:val="26"/>
        </w:rPr>
      </w:pPr>
    </w:p>
    <w:p w14:paraId="4B5A8B06" w14:textId="77777777" w:rsidR="007767A6" w:rsidRDefault="007767A6" w:rsidP="00E63FC1">
      <w:pPr>
        <w:pStyle w:val="NoSpacing"/>
        <w:jc w:val="both"/>
        <w:rPr>
          <w:sz w:val="26"/>
          <w:szCs w:val="26"/>
        </w:rPr>
      </w:pPr>
    </w:p>
    <w:p w14:paraId="34675047" w14:textId="77777777" w:rsidR="007767A6" w:rsidRDefault="007767A6" w:rsidP="00E63FC1">
      <w:pPr>
        <w:pStyle w:val="NoSpacing"/>
        <w:jc w:val="both"/>
        <w:rPr>
          <w:sz w:val="26"/>
          <w:szCs w:val="26"/>
        </w:rPr>
      </w:pPr>
    </w:p>
    <w:p w14:paraId="09EAD738" w14:textId="77777777" w:rsidR="007767A6" w:rsidRDefault="007767A6" w:rsidP="00E63FC1">
      <w:pPr>
        <w:pStyle w:val="NoSpacing"/>
        <w:jc w:val="both"/>
        <w:rPr>
          <w:sz w:val="26"/>
          <w:szCs w:val="26"/>
        </w:rPr>
      </w:pPr>
    </w:p>
    <w:p w14:paraId="24BF8696" w14:textId="77777777" w:rsidR="007767A6" w:rsidRDefault="007767A6" w:rsidP="00E63FC1">
      <w:pPr>
        <w:pStyle w:val="NoSpacing"/>
        <w:jc w:val="both"/>
        <w:rPr>
          <w:sz w:val="26"/>
          <w:szCs w:val="26"/>
        </w:rPr>
      </w:pPr>
    </w:p>
    <w:p w14:paraId="6C962C80" w14:textId="77777777" w:rsidR="007767A6" w:rsidRDefault="007767A6" w:rsidP="00E63FC1">
      <w:pPr>
        <w:pStyle w:val="NoSpacing"/>
        <w:jc w:val="both"/>
        <w:rPr>
          <w:sz w:val="26"/>
          <w:szCs w:val="26"/>
        </w:rPr>
      </w:pPr>
    </w:p>
    <w:p w14:paraId="303696F8" w14:textId="77777777" w:rsidR="007767A6" w:rsidRDefault="007767A6" w:rsidP="00E63FC1">
      <w:pPr>
        <w:pStyle w:val="NoSpacing"/>
        <w:jc w:val="both"/>
        <w:rPr>
          <w:sz w:val="26"/>
          <w:szCs w:val="26"/>
        </w:rPr>
      </w:pPr>
    </w:p>
    <w:p w14:paraId="76934B98" w14:textId="77777777" w:rsidR="007767A6" w:rsidRDefault="007767A6" w:rsidP="00E63FC1">
      <w:pPr>
        <w:pStyle w:val="NoSpacing"/>
        <w:jc w:val="both"/>
        <w:rPr>
          <w:sz w:val="26"/>
          <w:szCs w:val="26"/>
        </w:rPr>
      </w:pPr>
    </w:p>
    <w:p w14:paraId="5C36D849" w14:textId="712EC9EC" w:rsidR="006C250C" w:rsidRPr="0031641A" w:rsidRDefault="0031641A" w:rsidP="00244948">
      <w:pPr>
        <w:pStyle w:val="NoSpacing"/>
        <w:ind w:left="-709"/>
        <w:jc w:val="both"/>
        <w:rPr>
          <w:sz w:val="26"/>
          <w:szCs w:val="26"/>
        </w:rPr>
      </w:pPr>
      <w:r>
        <w:rPr>
          <w:noProof/>
        </w:rPr>
        <w:lastRenderedPageBreak/>
        <w:drawing>
          <wp:inline distT="0" distB="0" distL="0" distR="0" wp14:anchorId="0ACEEC3B" wp14:editId="6EB5AF3E">
            <wp:extent cx="6713220" cy="2849880"/>
            <wp:effectExtent l="0" t="0" r="17780" b="7620"/>
            <wp:docPr id="375979870" name="Chart 1" descr="chart showing number of decisions made">
              <a:extLst xmlns:a="http://schemas.openxmlformats.org/drawingml/2006/main">
                <a:ext uri="{FF2B5EF4-FFF2-40B4-BE49-F238E27FC236}">
                  <a16:creationId xmlns:a16="http://schemas.microsoft.com/office/drawing/2014/main" id="{15758C7E-D990-1F9E-C758-A4D13A0ADAAF}"/>
                </a:ext>
                <a:ext uri="{147F2762-F138-4A5C-976F-8EAC2B608ADB}">
                  <a16:predDERef xmlns:a16="http://schemas.microsoft.com/office/drawing/2014/main" pred="{410BA187-668E-FE83-129E-FE7F298D22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8A2BAD" w14:textId="7381F8E8" w:rsidR="003F34B6" w:rsidRPr="00E63FC1" w:rsidRDefault="09D2450E" w:rsidP="00E63FC1">
      <w:pPr>
        <w:pStyle w:val="NoSpacing"/>
        <w:jc w:val="both"/>
        <w:rPr>
          <w:sz w:val="26"/>
          <w:szCs w:val="26"/>
        </w:rPr>
      </w:pPr>
      <w:r w:rsidRPr="401D4F5D">
        <w:rPr>
          <w:i/>
          <w:iCs/>
          <w:sz w:val="20"/>
          <w:szCs w:val="20"/>
        </w:rPr>
        <w:t xml:space="preserve">Figure </w:t>
      </w:r>
      <w:r w:rsidR="005A713D">
        <w:rPr>
          <w:i/>
          <w:iCs/>
          <w:sz w:val="20"/>
          <w:szCs w:val="20"/>
        </w:rPr>
        <w:t>5</w:t>
      </w:r>
      <w:r w:rsidRPr="401D4F5D">
        <w:rPr>
          <w:i/>
          <w:iCs/>
          <w:sz w:val="20"/>
          <w:szCs w:val="20"/>
        </w:rPr>
        <w:t>: Number of planning applications decided by district authorities, by type of development</w:t>
      </w:r>
      <w:r w:rsidR="260CD743" w:rsidRPr="401D4F5D">
        <w:rPr>
          <w:i/>
          <w:iCs/>
          <w:sz w:val="20"/>
          <w:szCs w:val="20"/>
        </w:rPr>
        <w:t>;</w:t>
      </w:r>
      <w:r w:rsidRPr="401D4F5D">
        <w:rPr>
          <w:i/>
          <w:iCs/>
          <w:sz w:val="20"/>
          <w:szCs w:val="20"/>
        </w:rPr>
        <w:t xml:space="preserve"> England, quarter ending </w:t>
      </w:r>
      <w:r w:rsidR="00491D9A">
        <w:rPr>
          <w:i/>
          <w:iCs/>
          <w:sz w:val="20"/>
          <w:szCs w:val="20"/>
        </w:rPr>
        <w:t>March</w:t>
      </w:r>
      <w:r w:rsidRPr="401D4F5D">
        <w:rPr>
          <w:i/>
          <w:iCs/>
          <w:sz w:val="20"/>
          <w:szCs w:val="20"/>
        </w:rPr>
        <w:t xml:space="preserve"> </w:t>
      </w:r>
      <w:r w:rsidR="00491D9A">
        <w:rPr>
          <w:i/>
          <w:iCs/>
          <w:sz w:val="20"/>
          <w:szCs w:val="20"/>
        </w:rPr>
        <w:t>2012</w:t>
      </w:r>
      <w:r w:rsidRPr="401D4F5D">
        <w:rPr>
          <w:i/>
          <w:iCs/>
          <w:sz w:val="20"/>
          <w:szCs w:val="20"/>
        </w:rPr>
        <w:t xml:space="preserve"> to quarter ending </w:t>
      </w:r>
      <w:r w:rsidR="001E2BB8">
        <w:rPr>
          <w:i/>
          <w:iCs/>
          <w:sz w:val="20"/>
          <w:szCs w:val="20"/>
        </w:rPr>
        <w:t>December</w:t>
      </w:r>
      <w:r w:rsidRPr="401D4F5D">
        <w:rPr>
          <w:i/>
          <w:iCs/>
          <w:sz w:val="20"/>
          <w:szCs w:val="20"/>
        </w:rPr>
        <w:t xml:space="preserve"> 20</w:t>
      </w:r>
      <w:r w:rsidR="00491D9A">
        <w:rPr>
          <w:i/>
          <w:iCs/>
          <w:sz w:val="20"/>
          <w:szCs w:val="20"/>
        </w:rPr>
        <w:t>22</w:t>
      </w:r>
      <w:r w:rsidRPr="401D4F5D">
        <w:rPr>
          <w:i/>
          <w:iCs/>
          <w:sz w:val="20"/>
          <w:szCs w:val="20"/>
        </w:rPr>
        <w:t>; Source: MHCLG Planning Applications in England</w:t>
      </w:r>
      <w:bookmarkEnd w:id="37"/>
      <w:r w:rsidR="00411A89">
        <w:rPr>
          <w:rStyle w:val="FootnoteReference"/>
          <w:i/>
          <w:iCs/>
          <w:sz w:val="20"/>
          <w:szCs w:val="20"/>
        </w:rPr>
        <w:footnoteReference w:id="9"/>
      </w:r>
    </w:p>
    <w:p w14:paraId="5C8BFFF7" w14:textId="77777777" w:rsidR="00E63FC1" w:rsidRDefault="00E63FC1" w:rsidP="00315681">
      <w:pPr>
        <w:pStyle w:val="Heading1"/>
      </w:pPr>
    </w:p>
    <w:p w14:paraId="29E47C27" w14:textId="235DB240" w:rsidR="00087FD5" w:rsidRPr="007B2C29" w:rsidRDefault="1C2F8ED0" w:rsidP="00315681">
      <w:pPr>
        <w:pStyle w:val="Heading1"/>
      </w:pPr>
      <w:bookmarkStart w:id="38" w:name="_Toc141166605"/>
      <w:r>
        <w:t>Conclusions and further work</w:t>
      </w:r>
      <w:bookmarkEnd w:id="38"/>
    </w:p>
    <w:p w14:paraId="3D7BA0C9" w14:textId="77777777" w:rsidR="00087FD5" w:rsidRPr="00107B77" w:rsidRDefault="00087FD5" w:rsidP="000B6D6A">
      <w:pPr>
        <w:pStyle w:val="NoSpacing"/>
        <w:rPr>
          <w:sz w:val="26"/>
          <w:szCs w:val="26"/>
          <w:highlight w:val="yellow"/>
        </w:rPr>
      </w:pPr>
    </w:p>
    <w:p w14:paraId="1C60015E" w14:textId="2DCA3A35" w:rsidR="0026501A" w:rsidRPr="00583C4D" w:rsidRDefault="00167D25" w:rsidP="00234CC3">
      <w:pPr>
        <w:pStyle w:val="NoSpacing"/>
        <w:numPr>
          <w:ilvl w:val="0"/>
          <w:numId w:val="6"/>
        </w:numPr>
        <w:jc w:val="both"/>
        <w:rPr>
          <w:sz w:val="26"/>
          <w:szCs w:val="26"/>
        </w:rPr>
      </w:pPr>
      <w:r>
        <w:rPr>
          <w:sz w:val="26"/>
          <w:szCs w:val="26"/>
        </w:rPr>
        <w:t>Projects set out in the current LDS are in the preparation stages</w:t>
      </w:r>
      <w:r w:rsidR="00E84C06">
        <w:rPr>
          <w:sz w:val="26"/>
          <w:szCs w:val="26"/>
        </w:rPr>
        <w:t>. T</w:t>
      </w:r>
      <w:r>
        <w:rPr>
          <w:sz w:val="26"/>
          <w:szCs w:val="26"/>
        </w:rPr>
        <w:t>he new local plan</w:t>
      </w:r>
      <w:r w:rsidR="004B6CA8">
        <w:rPr>
          <w:sz w:val="26"/>
          <w:szCs w:val="26"/>
        </w:rPr>
        <w:t xml:space="preserve"> completed the issues and options consultations</w:t>
      </w:r>
      <w:r w:rsidR="00850DBA">
        <w:rPr>
          <w:sz w:val="26"/>
          <w:szCs w:val="26"/>
        </w:rPr>
        <w:t xml:space="preserve"> </w:t>
      </w:r>
      <w:r w:rsidR="00850DBA" w:rsidRPr="00E52902">
        <w:rPr>
          <w:sz w:val="26"/>
          <w:szCs w:val="26"/>
        </w:rPr>
        <w:t>in</w:t>
      </w:r>
      <w:r w:rsidR="00827055" w:rsidRPr="00E52902">
        <w:rPr>
          <w:sz w:val="26"/>
          <w:szCs w:val="26"/>
        </w:rPr>
        <w:t xml:space="preserve"> September </w:t>
      </w:r>
      <w:r w:rsidR="00850DBA" w:rsidRPr="00E52902">
        <w:rPr>
          <w:sz w:val="26"/>
          <w:szCs w:val="26"/>
        </w:rPr>
        <w:t>2022.</w:t>
      </w:r>
      <w:r w:rsidR="00850DBA">
        <w:rPr>
          <w:sz w:val="26"/>
          <w:szCs w:val="26"/>
        </w:rPr>
        <w:t xml:space="preserve"> Updates to the </w:t>
      </w:r>
      <w:r w:rsidR="006E1E16">
        <w:rPr>
          <w:sz w:val="26"/>
          <w:szCs w:val="26"/>
        </w:rPr>
        <w:t xml:space="preserve">Obligations SPD and the Design SPD are required by early 2025 and a review of the </w:t>
      </w:r>
      <w:r w:rsidR="00BC7CFD">
        <w:rPr>
          <w:sz w:val="26"/>
          <w:szCs w:val="26"/>
        </w:rPr>
        <w:t xml:space="preserve">Statement of Community Involvement is due by August 2027. </w:t>
      </w:r>
    </w:p>
    <w:p w14:paraId="457CE516" w14:textId="77777777" w:rsidR="00FF697F" w:rsidRPr="00107B77" w:rsidRDefault="00FF697F" w:rsidP="00A5054E">
      <w:pPr>
        <w:pStyle w:val="NoSpacing"/>
        <w:jc w:val="both"/>
        <w:rPr>
          <w:sz w:val="26"/>
          <w:szCs w:val="26"/>
          <w:highlight w:val="yellow"/>
        </w:rPr>
      </w:pPr>
    </w:p>
    <w:p w14:paraId="636D528F" w14:textId="2736817C" w:rsidR="004B1425" w:rsidRPr="00B149C9" w:rsidRDefault="3AA4C92F" w:rsidP="006B096D">
      <w:pPr>
        <w:pStyle w:val="NoSpacing"/>
        <w:numPr>
          <w:ilvl w:val="0"/>
          <w:numId w:val="6"/>
        </w:numPr>
        <w:jc w:val="both"/>
        <w:rPr>
          <w:sz w:val="26"/>
          <w:szCs w:val="26"/>
        </w:rPr>
      </w:pPr>
      <w:r w:rsidRPr="741B861B">
        <w:rPr>
          <w:sz w:val="26"/>
          <w:szCs w:val="26"/>
        </w:rPr>
        <w:t>The net delivery of 3</w:t>
      </w:r>
      <w:r w:rsidR="00F74502" w:rsidRPr="741B861B">
        <w:rPr>
          <w:sz w:val="26"/>
          <w:szCs w:val="26"/>
        </w:rPr>
        <w:t>5</w:t>
      </w:r>
      <w:r w:rsidR="476857B8" w:rsidRPr="741B861B">
        <w:rPr>
          <w:sz w:val="26"/>
          <w:szCs w:val="26"/>
        </w:rPr>
        <w:t>8</w:t>
      </w:r>
      <w:r w:rsidR="39C2A588" w:rsidRPr="741B861B">
        <w:rPr>
          <w:sz w:val="26"/>
          <w:szCs w:val="26"/>
        </w:rPr>
        <w:t xml:space="preserve"> </w:t>
      </w:r>
      <w:r w:rsidRPr="741B861B">
        <w:rPr>
          <w:sz w:val="26"/>
          <w:szCs w:val="26"/>
        </w:rPr>
        <w:t xml:space="preserve">new dwellings is </w:t>
      </w:r>
      <w:r w:rsidR="00741A22" w:rsidRPr="741B861B">
        <w:rPr>
          <w:sz w:val="26"/>
          <w:szCs w:val="26"/>
        </w:rPr>
        <w:t xml:space="preserve">in keeping with recent years delivery </w:t>
      </w:r>
      <w:r w:rsidRPr="741B861B">
        <w:rPr>
          <w:sz w:val="26"/>
          <w:szCs w:val="26"/>
        </w:rPr>
        <w:t xml:space="preserve">and above the </w:t>
      </w:r>
      <w:r w:rsidR="3AF72296" w:rsidRPr="741B861B">
        <w:rPr>
          <w:sz w:val="26"/>
          <w:szCs w:val="26"/>
        </w:rPr>
        <w:t>local plan</w:t>
      </w:r>
      <w:r w:rsidRPr="741B861B">
        <w:rPr>
          <w:sz w:val="26"/>
          <w:szCs w:val="26"/>
        </w:rPr>
        <w:t xml:space="preserve"> target of 177 dwellings per year.</w:t>
      </w:r>
      <w:r w:rsidR="00963C1F" w:rsidRPr="741B861B">
        <w:rPr>
          <w:sz w:val="26"/>
          <w:szCs w:val="26"/>
        </w:rPr>
        <w:t xml:space="preserve"> The</w:t>
      </w:r>
      <w:r w:rsidRPr="741B861B">
        <w:rPr>
          <w:sz w:val="26"/>
          <w:szCs w:val="26"/>
        </w:rPr>
        <w:t xml:space="preserve"> cumulative delivery over the whole of the plan period remains </w:t>
      </w:r>
      <w:r w:rsidR="00B56D9B" w:rsidRPr="741B861B">
        <w:rPr>
          <w:sz w:val="26"/>
          <w:szCs w:val="26"/>
        </w:rPr>
        <w:t>positive, however</w:t>
      </w:r>
      <w:r w:rsidR="00796447" w:rsidRPr="741B861B">
        <w:rPr>
          <w:sz w:val="26"/>
          <w:szCs w:val="26"/>
        </w:rPr>
        <w:t>,</w:t>
      </w:r>
      <w:r w:rsidR="76037462" w:rsidRPr="741B861B">
        <w:rPr>
          <w:sz w:val="26"/>
          <w:szCs w:val="26"/>
        </w:rPr>
        <w:t xml:space="preserve"> continued monitoring will be required to ensure that </w:t>
      </w:r>
      <w:r w:rsidR="62538E24" w:rsidRPr="741B861B">
        <w:rPr>
          <w:sz w:val="26"/>
          <w:szCs w:val="26"/>
        </w:rPr>
        <w:t>delivery rates remain at the appropriate level.</w:t>
      </w:r>
    </w:p>
    <w:p w14:paraId="7405226B" w14:textId="77777777" w:rsidR="004B1425" w:rsidRPr="00B149C9" w:rsidRDefault="004B1425" w:rsidP="00A5054E">
      <w:pPr>
        <w:pStyle w:val="NoSpacing"/>
        <w:jc w:val="both"/>
        <w:rPr>
          <w:sz w:val="26"/>
          <w:szCs w:val="26"/>
        </w:rPr>
      </w:pPr>
    </w:p>
    <w:p w14:paraId="76B988EE" w14:textId="517BE954" w:rsidR="00B5628F" w:rsidRDefault="18A27BA7" w:rsidP="006B096D">
      <w:pPr>
        <w:pStyle w:val="NoSpacing"/>
        <w:numPr>
          <w:ilvl w:val="0"/>
          <w:numId w:val="6"/>
        </w:numPr>
        <w:jc w:val="both"/>
        <w:rPr>
          <w:sz w:val="26"/>
          <w:szCs w:val="26"/>
        </w:rPr>
      </w:pPr>
      <w:r w:rsidRPr="401D4F5D">
        <w:rPr>
          <w:sz w:val="26"/>
          <w:szCs w:val="26"/>
        </w:rPr>
        <w:t xml:space="preserve">The </w:t>
      </w:r>
      <w:r w:rsidR="00BD08C0">
        <w:rPr>
          <w:sz w:val="26"/>
          <w:szCs w:val="26"/>
        </w:rPr>
        <w:t>41</w:t>
      </w:r>
      <w:r w:rsidR="209E1FA4" w:rsidRPr="401D4F5D">
        <w:rPr>
          <w:sz w:val="26"/>
          <w:szCs w:val="26"/>
        </w:rPr>
        <w:t xml:space="preserve"> affordable dwellings </w:t>
      </w:r>
      <w:r w:rsidR="2EE21285" w:rsidRPr="401D4F5D">
        <w:rPr>
          <w:sz w:val="26"/>
          <w:szCs w:val="26"/>
        </w:rPr>
        <w:t>delivered</w:t>
      </w:r>
      <w:r w:rsidR="209E1FA4" w:rsidRPr="401D4F5D">
        <w:rPr>
          <w:sz w:val="26"/>
          <w:szCs w:val="26"/>
        </w:rPr>
        <w:t xml:space="preserve"> during 20</w:t>
      </w:r>
      <w:r w:rsidR="00721785">
        <w:rPr>
          <w:sz w:val="26"/>
          <w:szCs w:val="26"/>
        </w:rPr>
        <w:t>22</w:t>
      </w:r>
      <w:r w:rsidR="209E1FA4" w:rsidRPr="401D4F5D">
        <w:rPr>
          <w:sz w:val="26"/>
          <w:szCs w:val="26"/>
        </w:rPr>
        <w:t>/</w:t>
      </w:r>
      <w:r w:rsidR="00721785">
        <w:rPr>
          <w:sz w:val="26"/>
          <w:szCs w:val="26"/>
        </w:rPr>
        <w:t>23</w:t>
      </w:r>
      <w:r w:rsidR="209E1FA4" w:rsidRPr="401D4F5D">
        <w:rPr>
          <w:sz w:val="26"/>
          <w:szCs w:val="26"/>
        </w:rPr>
        <w:t xml:space="preserve"> </w:t>
      </w:r>
      <w:r w:rsidR="00B5628F">
        <w:rPr>
          <w:sz w:val="26"/>
          <w:szCs w:val="26"/>
        </w:rPr>
        <w:t xml:space="preserve">meet the </w:t>
      </w:r>
      <w:r w:rsidR="006A2F58">
        <w:rPr>
          <w:sz w:val="26"/>
          <w:szCs w:val="26"/>
        </w:rPr>
        <w:t>local plan target of 40 dwellings per year</w:t>
      </w:r>
      <w:r w:rsidR="006A2F58" w:rsidRPr="00CA460E">
        <w:rPr>
          <w:sz w:val="26"/>
          <w:szCs w:val="26"/>
        </w:rPr>
        <w:t xml:space="preserve">. </w:t>
      </w:r>
      <w:r w:rsidR="00CA460E" w:rsidRPr="00CA460E">
        <w:rPr>
          <w:sz w:val="26"/>
          <w:szCs w:val="26"/>
        </w:rPr>
        <w:t>The significant number of affordable dwellings granted permission in previous years means that there has been a consistent supply of affordable dwellings in the borough for a number of years.</w:t>
      </w:r>
    </w:p>
    <w:p w14:paraId="04B77A35" w14:textId="77777777" w:rsidR="00CA705F" w:rsidRPr="00B149C9" w:rsidRDefault="00CA705F" w:rsidP="00A5054E">
      <w:pPr>
        <w:pStyle w:val="NoSpacing"/>
        <w:jc w:val="both"/>
        <w:rPr>
          <w:sz w:val="26"/>
          <w:szCs w:val="26"/>
        </w:rPr>
      </w:pPr>
    </w:p>
    <w:p w14:paraId="0DD7F190" w14:textId="1B58B2BC" w:rsidR="00B149C9" w:rsidRDefault="4939BB30" w:rsidP="00B149C9">
      <w:pPr>
        <w:pStyle w:val="NoSpacing"/>
        <w:numPr>
          <w:ilvl w:val="0"/>
          <w:numId w:val="6"/>
        </w:numPr>
        <w:jc w:val="both"/>
        <w:rPr>
          <w:sz w:val="26"/>
          <w:szCs w:val="26"/>
        </w:rPr>
      </w:pPr>
      <w:r w:rsidRPr="401D4F5D">
        <w:rPr>
          <w:sz w:val="26"/>
          <w:szCs w:val="26"/>
        </w:rPr>
        <w:t xml:space="preserve">The sizes of </w:t>
      </w:r>
      <w:r w:rsidR="70EAFDB7" w:rsidRPr="401D4F5D">
        <w:rPr>
          <w:sz w:val="26"/>
          <w:szCs w:val="26"/>
        </w:rPr>
        <w:t>dwellings</w:t>
      </w:r>
      <w:r w:rsidRPr="401D4F5D">
        <w:rPr>
          <w:sz w:val="26"/>
          <w:szCs w:val="26"/>
        </w:rPr>
        <w:t xml:space="preserve"> delivered during 20</w:t>
      </w:r>
      <w:r w:rsidR="00721785">
        <w:rPr>
          <w:sz w:val="26"/>
          <w:szCs w:val="26"/>
        </w:rPr>
        <w:t>22</w:t>
      </w:r>
      <w:r w:rsidRPr="401D4F5D">
        <w:rPr>
          <w:sz w:val="26"/>
          <w:szCs w:val="26"/>
        </w:rPr>
        <w:t>/</w:t>
      </w:r>
      <w:r w:rsidR="00721785">
        <w:rPr>
          <w:sz w:val="26"/>
          <w:szCs w:val="26"/>
        </w:rPr>
        <w:t>23</w:t>
      </w:r>
      <w:r w:rsidRPr="401D4F5D">
        <w:rPr>
          <w:sz w:val="26"/>
          <w:szCs w:val="26"/>
        </w:rPr>
        <w:t xml:space="preserve"> were broadly in accordance with the mix required by the </w:t>
      </w:r>
      <w:r w:rsidR="3AF72296" w:rsidRPr="401D4F5D">
        <w:rPr>
          <w:sz w:val="26"/>
          <w:szCs w:val="26"/>
        </w:rPr>
        <w:t>local plan</w:t>
      </w:r>
      <w:r w:rsidRPr="401D4F5D">
        <w:rPr>
          <w:sz w:val="26"/>
          <w:szCs w:val="26"/>
        </w:rPr>
        <w:t xml:space="preserve"> </w:t>
      </w:r>
      <w:r w:rsidR="70EAFDB7" w:rsidRPr="401D4F5D">
        <w:rPr>
          <w:sz w:val="26"/>
          <w:szCs w:val="26"/>
        </w:rPr>
        <w:t xml:space="preserve">policy; </w:t>
      </w:r>
      <w:r w:rsidR="007B1F10" w:rsidRPr="401D4F5D">
        <w:rPr>
          <w:sz w:val="26"/>
          <w:szCs w:val="26"/>
        </w:rPr>
        <w:t>however,</w:t>
      </w:r>
      <w:r w:rsidR="70EAFDB7" w:rsidRPr="401D4F5D">
        <w:rPr>
          <w:sz w:val="26"/>
          <w:szCs w:val="26"/>
        </w:rPr>
        <w:t xml:space="preserve"> the situation will need </w:t>
      </w:r>
      <w:r w:rsidR="70EAFDB7" w:rsidRPr="401D4F5D">
        <w:rPr>
          <w:sz w:val="26"/>
          <w:szCs w:val="26"/>
        </w:rPr>
        <w:lastRenderedPageBreak/>
        <w:t xml:space="preserve">to be monitored closely to </w:t>
      </w:r>
      <w:r w:rsidRPr="401D4F5D">
        <w:rPr>
          <w:sz w:val="26"/>
          <w:szCs w:val="26"/>
        </w:rPr>
        <w:t xml:space="preserve">ensure that </w:t>
      </w:r>
      <w:r w:rsidR="70EAFDB7" w:rsidRPr="401D4F5D">
        <w:rPr>
          <w:sz w:val="26"/>
          <w:szCs w:val="26"/>
        </w:rPr>
        <w:t>developments are delivered in accordance with the approved mix.</w:t>
      </w:r>
    </w:p>
    <w:p w14:paraId="305ADE88" w14:textId="77777777" w:rsidR="00B149C9" w:rsidRDefault="00B149C9" w:rsidP="00B149C9">
      <w:pPr>
        <w:pStyle w:val="NoSpacing"/>
      </w:pPr>
    </w:p>
    <w:p w14:paraId="2917CA3E" w14:textId="03FC1DD5" w:rsidR="00F32819" w:rsidRPr="00B149C9" w:rsidRDefault="00F86B20" w:rsidP="00B149C9">
      <w:pPr>
        <w:pStyle w:val="NoSpacing"/>
        <w:numPr>
          <w:ilvl w:val="0"/>
          <w:numId w:val="6"/>
        </w:numPr>
        <w:jc w:val="both"/>
        <w:rPr>
          <w:sz w:val="26"/>
          <w:szCs w:val="26"/>
        </w:rPr>
      </w:pPr>
      <w:r w:rsidRPr="00B149C9">
        <w:rPr>
          <w:sz w:val="26"/>
          <w:szCs w:val="26"/>
        </w:rPr>
        <w:t xml:space="preserve">Delivery of employment sites </w:t>
      </w:r>
      <w:r w:rsidR="00527E1B" w:rsidRPr="00B149C9">
        <w:rPr>
          <w:sz w:val="26"/>
          <w:szCs w:val="26"/>
        </w:rPr>
        <w:t>remains</w:t>
      </w:r>
      <w:r w:rsidRPr="00B149C9">
        <w:rPr>
          <w:sz w:val="26"/>
          <w:szCs w:val="26"/>
        </w:rPr>
        <w:t xml:space="preserve"> significantly slower than for housing </w:t>
      </w:r>
      <w:r w:rsidR="0039056C" w:rsidRPr="00B149C9">
        <w:rPr>
          <w:sz w:val="26"/>
          <w:szCs w:val="26"/>
        </w:rPr>
        <w:t>developments;</w:t>
      </w:r>
      <w:r w:rsidRPr="00B149C9">
        <w:rPr>
          <w:sz w:val="26"/>
          <w:szCs w:val="26"/>
        </w:rPr>
        <w:t xml:space="preserve"> </w:t>
      </w:r>
      <w:r w:rsidR="00B56D9B" w:rsidRPr="00B149C9">
        <w:rPr>
          <w:sz w:val="26"/>
          <w:szCs w:val="26"/>
        </w:rPr>
        <w:t>however,</w:t>
      </w:r>
      <w:r w:rsidRPr="00B149C9">
        <w:rPr>
          <w:sz w:val="26"/>
          <w:szCs w:val="26"/>
        </w:rPr>
        <w:t xml:space="preserve"> this is </w:t>
      </w:r>
      <w:r w:rsidR="009B0B52" w:rsidRPr="00B149C9">
        <w:rPr>
          <w:sz w:val="26"/>
          <w:szCs w:val="26"/>
        </w:rPr>
        <w:t xml:space="preserve">in line with broader national </w:t>
      </w:r>
      <w:r w:rsidR="000C09B6" w:rsidRPr="00B149C9">
        <w:rPr>
          <w:sz w:val="26"/>
          <w:szCs w:val="26"/>
        </w:rPr>
        <w:t>trends.</w:t>
      </w:r>
      <w:r w:rsidR="00F32819" w:rsidRPr="00B149C9">
        <w:rPr>
          <w:b/>
          <w:sz w:val="48"/>
          <w:szCs w:val="48"/>
          <w:highlight w:val="yellow"/>
        </w:rPr>
        <w:br w:type="page"/>
      </w:r>
    </w:p>
    <w:p w14:paraId="10B68744" w14:textId="77777777" w:rsidR="007F5112" w:rsidRPr="00726874" w:rsidRDefault="03AC230F" w:rsidP="00315681">
      <w:pPr>
        <w:pStyle w:val="Heading1"/>
      </w:pPr>
      <w:bookmarkStart w:id="39" w:name="_Toc141166606"/>
      <w:r>
        <w:lastRenderedPageBreak/>
        <w:t>Related documents</w:t>
      </w:r>
      <w:bookmarkEnd w:id="39"/>
    </w:p>
    <w:p w14:paraId="456FEDE8" w14:textId="77777777" w:rsidR="007F5112" w:rsidRPr="00726874" w:rsidRDefault="007F5112" w:rsidP="000B6D6A">
      <w:pPr>
        <w:pStyle w:val="NoSpacing"/>
        <w:rPr>
          <w:sz w:val="26"/>
          <w:szCs w:val="26"/>
        </w:rPr>
      </w:pPr>
    </w:p>
    <w:p w14:paraId="7206AB94" w14:textId="40EE44BC" w:rsidR="007F5112" w:rsidRPr="00726874" w:rsidRDefault="31F04F98" w:rsidP="000B6D6A">
      <w:pPr>
        <w:pStyle w:val="NoSpacing"/>
        <w:rPr>
          <w:sz w:val="26"/>
          <w:szCs w:val="26"/>
        </w:rPr>
      </w:pPr>
      <w:r w:rsidRPr="401D4F5D">
        <w:rPr>
          <w:sz w:val="26"/>
          <w:szCs w:val="26"/>
        </w:rPr>
        <w:t xml:space="preserve">Tamworth Borough Council </w:t>
      </w:r>
      <w:r w:rsidR="3D08854C" w:rsidRPr="401D4F5D">
        <w:rPr>
          <w:sz w:val="26"/>
          <w:szCs w:val="26"/>
        </w:rPr>
        <w:t>Five-year</w:t>
      </w:r>
      <w:r w:rsidR="7C4195A6" w:rsidRPr="401D4F5D">
        <w:rPr>
          <w:sz w:val="26"/>
          <w:szCs w:val="26"/>
        </w:rPr>
        <w:t xml:space="preserve"> housing land supply</w:t>
      </w:r>
      <w:r w:rsidRPr="401D4F5D">
        <w:rPr>
          <w:sz w:val="26"/>
          <w:szCs w:val="26"/>
        </w:rPr>
        <w:t xml:space="preserve"> 20</w:t>
      </w:r>
      <w:r w:rsidR="00C00C4E">
        <w:rPr>
          <w:sz w:val="26"/>
          <w:szCs w:val="26"/>
        </w:rPr>
        <w:t>22</w:t>
      </w:r>
      <w:r w:rsidRPr="401D4F5D">
        <w:rPr>
          <w:sz w:val="26"/>
          <w:szCs w:val="26"/>
        </w:rPr>
        <w:t xml:space="preserve"> to 202</w:t>
      </w:r>
      <w:r w:rsidR="00C00C4E">
        <w:rPr>
          <w:sz w:val="26"/>
          <w:szCs w:val="26"/>
        </w:rPr>
        <w:t>7</w:t>
      </w:r>
    </w:p>
    <w:p w14:paraId="04F145DB" w14:textId="31055F16" w:rsidR="00BE4E6C" w:rsidRPr="00726874" w:rsidRDefault="00D73176" w:rsidP="000B6D6A">
      <w:pPr>
        <w:pStyle w:val="NoSpacing"/>
        <w:rPr>
          <w:sz w:val="26"/>
          <w:szCs w:val="26"/>
        </w:rPr>
      </w:pPr>
      <w:r w:rsidRPr="00726874">
        <w:rPr>
          <w:sz w:val="26"/>
          <w:szCs w:val="26"/>
        </w:rPr>
        <w:t xml:space="preserve">Housing Delivery Paper </w:t>
      </w:r>
      <w:r w:rsidR="00877570" w:rsidRPr="00726874">
        <w:rPr>
          <w:sz w:val="26"/>
          <w:szCs w:val="26"/>
        </w:rPr>
        <w:t>20</w:t>
      </w:r>
      <w:r w:rsidR="00C00C4E">
        <w:rPr>
          <w:sz w:val="26"/>
          <w:szCs w:val="26"/>
        </w:rPr>
        <w:t>22</w:t>
      </w:r>
      <w:r w:rsidR="00877570" w:rsidRPr="00726874">
        <w:rPr>
          <w:sz w:val="26"/>
          <w:szCs w:val="26"/>
        </w:rPr>
        <w:t>/</w:t>
      </w:r>
      <w:r w:rsidR="00C00C4E">
        <w:rPr>
          <w:sz w:val="26"/>
          <w:szCs w:val="26"/>
        </w:rPr>
        <w:t>23</w:t>
      </w:r>
    </w:p>
    <w:p w14:paraId="3711840D" w14:textId="77777777" w:rsidR="00A429C2" w:rsidRPr="00107B77" w:rsidRDefault="00A429C2" w:rsidP="000B6D6A">
      <w:pPr>
        <w:pStyle w:val="NoSpacing"/>
        <w:rPr>
          <w:sz w:val="26"/>
          <w:szCs w:val="26"/>
          <w:highlight w:val="yellow"/>
        </w:rPr>
      </w:pPr>
    </w:p>
    <w:p w14:paraId="3603C7FB" w14:textId="77777777" w:rsidR="00A429C2" w:rsidRPr="00107B77" w:rsidRDefault="00A429C2" w:rsidP="000B6D6A">
      <w:pPr>
        <w:pStyle w:val="NoSpacing"/>
        <w:rPr>
          <w:sz w:val="26"/>
          <w:szCs w:val="26"/>
          <w:highlight w:val="yellow"/>
        </w:rPr>
      </w:pPr>
    </w:p>
    <w:p w14:paraId="4A1BB92E" w14:textId="77777777" w:rsidR="00A429C2" w:rsidRPr="002D5F60" w:rsidRDefault="5E41E4A8" w:rsidP="00315681">
      <w:pPr>
        <w:pStyle w:val="Heading1"/>
      </w:pPr>
      <w:bookmarkStart w:id="40" w:name="_Toc141166607"/>
      <w:r>
        <w:t>List of abbreviations</w:t>
      </w:r>
      <w:bookmarkEnd w:id="40"/>
    </w:p>
    <w:p w14:paraId="249C011D" w14:textId="77777777" w:rsidR="00F86B20" w:rsidRPr="002D5F60" w:rsidRDefault="00F86B20" w:rsidP="000B6D6A">
      <w:pPr>
        <w:pStyle w:val="NoSpacing"/>
        <w:rPr>
          <w:sz w:val="26"/>
          <w:szCs w:val="26"/>
        </w:rPr>
      </w:pPr>
    </w:p>
    <w:p w14:paraId="2611BDCB" w14:textId="77777777" w:rsidR="008D4F86" w:rsidRPr="002D5F60" w:rsidRDefault="008D4F86" w:rsidP="000B6D6A">
      <w:pPr>
        <w:pStyle w:val="NoSpacing"/>
        <w:rPr>
          <w:sz w:val="26"/>
          <w:szCs w:val="26"/>
        </w:rPr>
      </w:pPr>
      <w:r w:rsidRPr="002D5F60">
        <w:rPr>
          <w:sz w:val="26"/>
          <w:szCs w:val="26"/>
        </w:rPr>
        <w:t>IDP – Infrastructure Delivery Plan</w:t>
      </w:r>
    </w:p>
    <w:p w14:paraId="11AADA0F" w14:textId="77777777" w:rsidR="008D4F86" w:rsidRPr="002D5F60" w:rsidRDefault="008D4F86" w:rsidP="000B6D6A">
      <w:pPr>
        <w:pStyle w:val="NoSpacing"/>
        <w:rPr>
          <w:sz w:val="26"/>
          <w:szCs w:val="26"/>
        </w:rPr>
      </w:pPr>
      <w:r w:rsidRPr="002D5F60">
        <w:rPr>
          <w:sz w:val="26"/>
          <w:szCs w:val="26"/>
        </w:rPr>
        <w:t>LDD – Local Development Document</w:t>
      </w:r>
    </w:p>
    <w:p w14:paraId="627C2599" w14:textId="77777777" w:rsidR="00A429C2" w:rsidRDefault="00A429C2" w:rsidP="000B6D6A">
      <w:pPr>
        <w:pStyle w:val="NoSpacing"/>
        <w:rPr>
          <w:sz w:val="26"/>
          <w:szCs w:val="26"/>
        </w:rPr>
      </w:pPr>
      <w:r w:rsidRPr="002D5F60">
        <w:rPr>
          <w:sz w:val="26"/>
          <w:szCs w:val="26"/>
        </w:rPr>
        <w:t xml:space="preserve">LDS </w:t>
      </w:r>
      <w:r w:rsidR="008D4F86" w:rsidRPr="002D5F60">
        <w:rPr>
          <w:sz w:val="26"/>
          <w:szCs w:val="26"/>
        </w:rPr>
        <w:t xml:space="preserve">- </w:t>
      </w:r>
      <w:r w:rsidRPr="002D5F60">
        <w:rPr>
          <w:sz w:val="26"/>
          <w:szCs w:val="26"/>
        </w:rPr>
        <w:t>Local Development Scheme</w:t>
      </w:r>
    </w:p>
    <w:p w14:paraId="067A2195" w14:textId="61EB8500" w:rsidR="00224DB5" w:rsidRPr="002D5F60" w:rsidRDefault="00224DB5" w:rsidP="000B6D6A">
      <w:pPr>
        <w:pStyle w:val="NoSpacing"/>
        <w:rPr>
          <w:sz w:val="26"/>
          <w:szCs w:val="26"/>
        </w:rPr>
      </w:pPr>
      <w:r>
        <w:rPr>
          <w:sz w:val="26"/>
          <w:szCs w:val="26"/>
        </w:rPr>
        <w:t>MHCLG – Ministry of housing, Communities &amp; Local Government</w:t>
      </w:r>
    </w:p>
    <w:p w14:paraId="4FBB489B" w14:textId="77777777" w:rsidR="008D4F86" w:rsidRPr="002D5F60" w:rsidRDefault="008D4F86" w:rsidP="000B6D6A">
      <w:pPr>
        <w:pStyle w:val="NoSpacing"/>
        <w:rPr>
          <w:sz w:val="26"/>
          <w:szCs w:val="26"/>
        </w:rPr>
      </w:pPr>
      <w:r w:rsidRPr="002D5F60">
        <w:rPr>
          <w:sz w:val="26"/>
          <w:szCs w:val="26"/>
        </w:rPr>
        <w:t>NPPF – National Planning Policy Framework</w:t>
      </w:r>
    </w:p>
    <w:p w14:paraId="5EDD3CF8" w14:textId="77777777" w:rsidR="0028719C" w:rsidRPr="002D5F60" w:rsidRDefault="0028719C" w:rsidP="000B6D6A">
      <w:pPr>
        <w:pStyle w:val="NoSpacing"/>
        <w:rPr>
          <w:sz w:val="26"/>
          <w:szCs w:val="26"/>
        </w:rPr>
      </w:pPr>
      <w:r w:rsidRPr="002D5F60">
        <w:rPr>
          <w:sz w:val="26"/>
          <w:szCs w:val="26"/>
        </w:rPr>
        <w:t>NPPG – National Planning Policy Guidance</w:t>
      </w:r>
    </w:p>
    <w:p w14:paraId="6878EE0D" w14:textId="77777777" w:rsidR="008D4F86" w:rsidRPr="002D5F60" w:rsidRDefault="008D4F86" w:rsidP="000B6D6A">
      <w:pPr>
        <w:pStyle w:val="NoSpacing"/>
        <w:rPr>
          <w:sz w:val="26"/>
          <w:szCs w:val="26"/>
        </w:rPr>
      </w:pPr>
      <w:r w:rsidRPr="002D5F60">
        <w:rPr>
          <w:sz w:val="26"/>
          <w:szCs w:val="26"/>
        </w:rPr>
        <w:t>SCI – Statement of Community Involvement</w:t>
      </w:r>
    </w:p>
    <w:p w14:paraId="02516183" w14:textId="77777777" w:rsidR="00A429C2" w:rsidRPr="002D5F60" w:rsidRDefault="00A429C2" w:rsidP="000B6D6A">
      <w:pPr>
        <w:pStyle w:val="NoSpacing"/>
        <w:rPr>
          <w:sz w:val="26"/>
          <w:szCs w:val="26"/>
        </w:rPr>
      </w:pPr>
      <w:r w:rsidRPr="002D5F60">
        <w:rPr>
          <w:sz w:val="26"/>
          <w:szCs w:val="26"/>
        </w:rPr>
        <w:t xml:space="preserve">SPD </w:t>
      </w:r>
      <w:r w:rsidR="008D4F86" w:rsidRPr="002D5F60">
        <w:rPr>
          <w:sz w:val="26"/>
          <w:szCs w:val="26"/>
        </w:rPr>
        <w:t xml:space="preserve">- </w:t>
      </w:r>
      <w:r w:rsidRPr="002D5F60">
        <w:rPr>
          <w:sz w:val="26"/>
          <w:szCs w:val="26"/>
        </w:rPr>
        <w:t>Supplementary Planning Document</w:t>
      </w:r>
    </w:p>
    <w:p w14:paraId="07168A94" w14:textId="77777777" w:rsidR="008D4F86" w:rsidRPr="00087FD5" w:rsidRDefault="008D4F86" w:rsidP="000B6D6A">
      <w:pPr>
        <w:pStyle w:val="NoSpacing"/>
        <w:rPr>
          <w:sz w:val="26"/>
          <w:szCs w:val="26"/>
        </w:rPr>
      </w:pPr>
      <w:r w:rsidRPr="002D5F60">
        <w:rPr>
          <w:sz w:val="26"/>
          <w:szCs w:val="26"/>
        </w:rPr>
        <w:t>SUE – Sustainable Urban Extension</w:t>
      </w:r>
    </w:p>
    <w:sectPr w:rsidR="008D4F86" w:rsidRPr="00087FD5" w:rsidSect="00315681">
      <w:headerReference w:type="first" r:id="rId17"/>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5629" w14:textId="77777777" w:rsidR="00305B4C" w:rsidRDefault="00305B4C" w:rsidP="004A7D2F">
      <w:pPr>
        <w:spacing w:after="0" w:line="240" w:lineRule="auto"/>
      </w:pPr>
      <w:r>
        <w:separator/>
      </w:r>
    </w:p>
  </w:endnote>
  <w:endnote w:type="continuationSeparator" w:id="0">
    <w:p w14:paraId="6A1B13B9" w14:textId="77777777" w:rsidR="00305B4C" w:rsidRDefault="00305B4C" w:rsidP="004A7D2F">
      <w:pPr>
        <w:spacing w:after="0" w:line="240" w:lineRule="auto"/>
      </w:pPr>
      <w:r>
        <w:continuationSeparator/>
      </w:r>
    </w:p>
  </w:endnote>
  <w:endnote w:type="continuationNotice" w:id="1">
    <w:p w14:paraId="7DF44A52" w14:textId="77777777" w:rsidR="00305B4C" w:rsidRDefault="00305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371221"/>
      <w:docPartObj>
        <w:docPartGallery w:val="Page Numbers (Bottom of Page)"/>
        <w:docPartUnique/>
      </w:docPartObj>
    </w:sdtPr>
    <w:sdtEndPr>
      <w:rPr>
        <w:noProof/>
      </w:rPr>
    </w:sdtEndPr>
    <w:sdtContent>
      <w:p w14:paraId="12758274" w14:textId="77777777" w:rsidR="008B3CED" w:rsidRDefault="008B3CED">
        <w:pPr>
          <w:pStyle w:val="Footer"/>
          <w:jc w:val="right"/>
        </w:pPr>
        <w:r>
          <w:fldChar w:fldCharType="begin"/>
        </w:r>
        <w:r>
          <w:instrText xml:space="preserve"> PAGE   \* MERGEFORMAT </w:instrText>
        </w:r>
        <w:r>
          <w:fldChar w:fldCharType="separate"/>
        </w:r>
        <w:r w:rsidR="00F13E88">
          <w:rPr>
            <w:noProof/>
          </w:rPr>
          <w:t>ii</w:t>
        </w:r>
        <w:r>
          <w:rPr>
            <w:noProof/>
          </w:rPr>
          <w:fldChar w:fldCharType="end"/>
        </w:r>
      </w:p>
    </w:sdtContent>
  </w:sdt>
  <w:p w14:paraId="411A6772" w14:textId="77777777" w:rsidR="008B3CED" w:rsidRDefault="008B3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3F29" w14:textId="77777777" w:rsidR="008B3CED" w:rsidRDefault="008B3CED">
    <w:pPr>
      <w:pStyle w:val="Footer"/>
      <w:jc w:val="right"/>
    </w:pPr>
    <w:r>
      <w:fldChar w:fldCharType="begin"/>
    </w:r>
    <w:r>
      <w:instrText xml:space="preserve"> PAGE   \* MERGEFORMAT </w:instrText>
    </w:r>
    <w:r>
      <w:fldChar w:fldCharType="separate"/>
    </w:r>
    <w:r>
      <w:rPr>
        <w:noProof/>
      </w:rPr>
      <w:t>1</w:t>
    </w:r>
    <w:r>
      <w:rPr>
        <w:noProof/>
      </w:rPr>
      <w:fldChar w:fldCharType="end"/>
    </w:r>
  </w:p>
  <w:p w14:paraId="49E9DA2A" w14:textId="77777777" w:rsidR="008B3CED" w:rsidRDefault="008B3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F4A6" w14:textId="77777777" w:rsidR="00305B4C" w:rsidRDefault="00305B4C" w:rsidP="004A7D2F">
      <w:pPr>
        <w:spacing w:after="0" w:line="240" w:lineRule="auto"/>
      </w:pPr>
      <w:r>
        <w:separator/>
      </w:r>
    </w:p>
  </w:footnote>
  <w:footnote w:type="continuationSeparator" w:id="0">
    <w:p w14:paraId="5BA68C7B" w14:textId="77777777" w:rsidR="00305B4C" w:rsidRDefault="00305B4C" w:rsidP="004A7D2F">
      <w:pPr>
        <w:spacing w:after="0" w:line="240" w:lineRule="auto"/>
      </w:pPr>
      <w:r>
        <w:continuationSeparator/>
      </w:r>
    </w:p>
  </w:footnote>
  <w:footnote w:type="continuationNotice" w:id="1">
    <w:p w14:paraId="7A67ADAD" w14:textId="77777777" w:rsidR="00305B4C" w:rsidRDefault="00305B4C">
      <w:pPr>
        <w:spacing w:after="0" w:line="240" w:lineRule="auto"/>
      </w:pPr>
    </w:p>
  </w:footnote>
  <w:footnote w:id="2">
    <w:p w14:paraId="426BD3F3" w14:textId="0026135C" w:rsidR="00794C56" w:rsidRDefault="00794C56">
      <w:pPr>
        <w:pStyle w:val="FootnoteText"/>
      </w:pPr>
      <w:r>
        <w:rPr>
          <w:rStyle w:val="FootnoteReference"/>
        </w:rPr>
        <w:footnoteRef/>
      </w:r>
      <w:r>
        <w:t xml:space="preserve"> </w:t>
      </w:r>
      <w:hyperlink r:id="rId1" w:history="1">
        <w:r w:rsidR="00D433E1">
          <w:rPr>
            <w:rStyle w:val="Hyperlink"/>
          </w:rPr>
          <w:t>The Town and Country Planning (Use Classes) (Amendment) (England) Regulations 2020 (legislation.gov.uk)</w:t>
        </w:r>
      </w:hyperlink>
    </w:p>
  </w:footnote>
  <w:footnote w:id="3">
    <w:p w14:paraId="10393818" w14:textId="0BCAB657" w:rsidR="00CF7138" w:rsidRDefault="00CF7138">
      <w:pPr>
        <w:pStyle w:val="FootnoteText"/>
      </w:pPr>
      <w:r>
        <w:rPr>
          <w:rStyle w:val="FootnoteReference"/>
        </w:rPr>
        <w:footnoteRef/>
      </w:r>
      <w:r>
        <w:t xml:space="preserve"> </w:t>
      </w:r>
      <w:hyperlink r:id="rId2" w:history="1">
        <w:r w:rsidR="00626056">
          <w:rPr>
            <w:rStyle w:val="Hyperlink"/>
          </w:rPr>
          <w:t>Planning and Compulsory Purchase Act 2004 (legislation.gov.uk)</w:t>
        </w:r>
      </w:hyperlink>
    </w:p>
  </w:footnote>
  <w:footnote w:id="4">
    <w:p w14:paraId="722A074A" w14:textId="2F0FA258" w:rsidR="004A07AC" w:rsidRDefault="004A07AC">
      <w:pPr>
        <w:pStyle w:val="FootnoteText"/>
      </w:pPr>
      <w:r>
        <w:rPr>
          <w:rStyle w:val="FootnoteReference"/>
        </w:rPr>
        <w:footnoteRef/>
      </w:r>
      <w:r>
        <w:t xml:space="preserve"> </w:t>
      </w:r>
      <w:hyperlink r:id="rId3" w:history="1">
        <w:r w:rsidR="002D04E3">
          <w:rPr>
            <w:rStyle w:val="Hyperlink"/>
          </w:rPr>
          <w:t>review of TBC local plan 2006-2031 (tamworth.gov.uk)</w:t>
        </w:r>
      </w:hyperlink>
    </w:p>
  </w:footnote>
  <w:footnote w:id="5">
    <w:p w14:paraId="36A00BF1" w14:textId="1A26E3EA" w:rsidR="00EE5C63" w:rsidRDefault="00EE5C63">
      <w:pPr>
        <w:pStyle w:val="FootnoteText"/>
      </w:pPr>
      <w:r>
        <w:rPr>
          <w:rStyle w:val="FootnoteReference"/>
        </w:rPr>
        <w:footnoteRef/>
      </w:r>
      <w:r>
        <w:t xml:space="preserve"> </w:t>
      </w:r>
      <w:hyperlink r:id="rId4" w:history="1">
        <w:r w:rsidR="004845C0">
          <w:rPr>
            <w:rStyle w:val="Hyperlink"/>
          </w:rPr>
          <w:t>Local Development Scheme | Tamworth Borough Council</w:t>
        </w:r>
      </w:hyperlink>
    </w:p>
  </w:footnote>
  <w:footnote w:id="6">
    <w:p w14:paraId="6DF9020C" w14:textId="005603D1" w:rsidR="00D030FB" w:rsidRDefault="00D030FB">
      <w:pPr>
        <w:pStyle w:val="FootnoteText"/>
      </w:pPr>
      <w:r>
        <w:rPr>
          <w:rStyle w:val="FootnoteReference"/>
        </w:rPr>
        <w:footnoteRef/>
      </w:r>
      <w:r>
        <w:t xml:space="preserve"> </w:t>
      </w:r>
      <w:hyperlink r:id="rId5" w:history="1">
        <w:r>
          <w:rPr>
            <w:rStyle w:val="Hyperlink"/>
          </w:rPr>
          <w:t>Five-year housing land supply 2022-2027 | Tamworth Borough Council</w:t>
        </w:r>
      </w:hyperlink>
    </w:p>
  </w:footnote>
  <w:footnote w:id="7">
    <w:p w14:paraId="29D9ECAF" w14:textId="4AE59FB7" w:rsidR="003725A3" w:rsidRDefault="003725A3">
      <w:pPr>
        <w:pStyle w:val="FootnoteText"/>
      </w:pPr>
      <w:r>
        <w:rPr>
          <w:rStyle w:val="FootnoteReference"/>
        </w:rPr>
        <w:footnoteRef/>
      </w:r>
      <w:r>
        <w:t xml:space="preserve"> </w:t>
      </w:r>
      <w:hyperlink r:id="rId6" w:anchor=":~:text=The%20primary%20legislation%20allows%20the%20Secretary%20of%20State,development%20and%20therefore%20does%20not%20require%20planning%20permission." w:history="1">
        <w:r w:rsidR="008C770F" w:rsidRPr="006B4FC7">
          <w:rPr>
            <w:rStyle w:val="Hyperlink"/>
          </w:rPr>
          <w:t>https://www.legislation.gov.uk/uksi/2020/757/pdfs/uksiod_20200757_en.pdf#:~:text=The%20primary%20legislation%20allows%20the%20Secretary%20of%20State,development%20and%20therefore%20does%20not%20require%20planning%20permission.</w:t>
        </w:r>
      </w:hyperlink>
    </w:p>
  </w:footnote>
  <w:footnote w:id="8">
    <w:p w14:paraId="0645F5AD" w14:textId="53D70149" w:rsidR="002239DE" w:rsidRDefault="002239DE">
      <w:pPr>
        <w:pStyle w:val="FootnoteText"/>
      </w:pPr>
      <w:r>
        <w:rPr>
          <w:rStyle w:val="FootnoteReference"/>
        </w:rPr>
        <w:footnoteRef/>
      </w:r>
      <w:r>
        <w:t xml:space="preserve"> </w:t>
      </w:r>
      <w:hyperlink r:id="rId7" w:history="1">
        <w:r>
          <w:rPr>
            <w:rStyle w:val="Hyperlink"/>
          </w:rPr>
          <w:t>The Town and Country Planning (Use Classes) (Amendment) (England) Regulations 2020 (legislation.gov.uk)</w:t>
        </w:r>
      </w:hyperlink>
    </w:p>
  </w:footnote>
  <w:footnote w:id="9">
    <w:p w14:paraId="7BA89F07" w14:textId="77777777" w:rsidR="00411A89" w:rsidRPr="002D094F" w:rsidRDefault="00411A89" w:rsidP="00411A89">
      <w:r>
        <w:rPr>
          <w:rStyle w:val="FootnoteReference"/>
        </w:rPr>
        <w:footnoteRef/>
      </w:r>
      <w:r>
        <w:t xml:space="preserve"> </w:t>
      </w:r>
      <w:hyperlink r:id="rId8" w:history="1">
        <w:r>
          <w:rPr>
            <w:rStyle w:val="Hyperlink"/>
          </w:rPr>
          <w:t>Live tables on planning application statistics - GOV.UK (www.gov.uk)</w:t>
        </w:r>
      </w:hyperlink>
    </w:p>
    <w:p w14:paraId="244C4835" w14:textId="0EE9DA17" w:rsidR="00411A89" w:rsidRDefault="00411A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6A03" w14:textId="77777777" w:rsidR="008B3CED" w:rsidRDefault="008B3CED" w:rsidP="004A7D2F">
    <w:pPr>
      <w:pStyle w:val="Header"/>
      <w:jc w:val="right"/>
    </w:pPr>
    <w:r>
      <w:t>Tamworth Borough Council – Monitoring report</w:t>
    </w:r>
  </w:p>
  <w:p w14:paraId="7DE4DF43" w14:textId="7A222B60" w:rsidR="008B3CED" w:rsidRDefault="008B3CED" w:rsidP="004A7D2F">
    <w:pPr>
      <w:pStyle w:val="Header"/>
      <w:jc w:val="right"/>
    </w:pPr>
    <w:r>
      <w:t>20</w:t>
    </w:r>
    <w:r w:rsidR="008F7806">
      <w:t>22</w:t>
    </w:r>
    <w:r>
      <w:t>/2</w:t>
    </w:r>
    <w:r w:rsidR="008F7806">
      <w:t>3</w:t>
    </w:r>
  </w:p>
  <w:p w14:paraId="5055F5F0" w14:textId="77777777" w:rsidR="008B3CED" w:rsidRDefault="008B3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CE87" w14:textId="77777777" w:rsidR="008B3CED" w:rsidRDefault="008B3CED" w:rsidP="00315681">
    <w:pPr>
      <w:pStyle w:val="Header"/>
      <w:jc w:val="right"/>
    </w:pPr>
    <w:r>
      <w:t>Tamworth Borough Council – Monitoring report</w:t>
    </w:r>
  </w:p>
  <w:p w14:paraId="10F1DFCC" w14:textId="70388FDE" w:rsidR="008B3CED" w:rsidRDefault="008B3CED" w:rsidP="00315681">
    <w:pPr>
      <w:pStyle w:val="Header"/>
      <w:jc w:val="right"/>
    </w:pPr>
    <w:r>
      <w:t>20</w:t>
    </w:r>
    <w:r w:rsidR="00C30222">
      <w:t>22</w:t>
    </w:r>
    <w:r>
      <w:t>/</w:t>
    </w:r>
    <w:r w:rsidR="00C30222">
      <w:t>23</w:t>
    </w:r>
  </w:p>
  <w:p w14:paraId="2A2344EA" w14:textId="77777777" w:rsidR="008B3CED" w:rsidRDefault="008B3CED" w:rsidP="003156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E00"/>
    <w:multiLevelType w:val="hybridMultilevel"/>
    <w:tmpl w:val="796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52BC7"/>
    <w:multiLevelType w:val="hybridMultilevel"/>
    <w:tmpl w:val="78DE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C07"/>
    <w:multiLevelType w:val="hybridMultilevel"/>
    <w:tmpl w:val="0B680746"/>
    <w:lvl w:ilvl="0" w:tplc="64D473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C1305"/>
    <w:multiLevelType w:val="hybridMultilevel"/>
    <w:tmpl w:val="BF98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95E16"/>
    <w:multiLevelType w:val="hybridMultilevel"/>
    <w:tmpl w:val="6F907ABC"/>
    <w:lvl w:ilvl="0" w:tplc="64D473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523D5"/>
    <w:multiLevelType w:val="hybridMultilevel"/>
    <w:tmpl w:val="D6122614"/>
    <w:lvl w:ilvl="0" w:tplc="2960C6A2">
      <w:start w:val="1"/>
      <w:numFmt w:val="bullet"/>
      <w:lvlText w:val=""/>
      <w:lvlJc w:val="left"/>
      <w:pPr>
        <w:ind w:left="72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25EC"/>
    <w:multiLevelType w:val="hybridMultilevel"/>
    <w:tmpl w:val="265E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64CCE"/>
    <w:multiLevelType w:val="hybridMultilevel"/>
    <w:tmpl w:val="6D3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849464">
    <w:abstractNumId w:val="1"/>
  </w:num>
  <w:num w:numId="2" w16cid:durableId="94181741">
    <w:abstractNumId w:val="7"/>
  </w:num>
  <w:num w:numId="3" w16cid:durableId="2011055752">
    <w:abstractNumId w:val="3"/>
  </w:num>
  <w:num w:numId="4" w16cid:durableId="1254776096">
    <w:abstractNumId w:val="2"/>
  </w:num>
  <w:num w:numId="5" w16cid:durableId="1529369812">
    <w:abstractNumId w:val="4"/>
  </w:num>
  <w:num w:numId="6" w16cid:durableId="77289626">
    <w:abstractNumId w:val="5"/>
  </w:num>
  <w:num w:numId="7" w16cid:durableId="1030303880">
    <w:abstractNumId w:val="0"/>
  </w:num>
  <w:num w:numId="8" w16cid:durableId="568077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6A"/>
    <w:rsid w:val="00005082"/>
    <w:rsid w:val="00007D0C"/>
    <w:rsid w:val="000132DE"/>
    <w:rsid w:val="000137B0"/>
    <w:rsid w:val="00016359"/>
    <w:rsid w:val="00020E76"/>
    <w:rsid w:val="00020EFD"/>
    <w:rsid w:val="00024041"/>
    <w:rsid w:val="000360B3"/>
    <w:rsid w:val="00044336"/>
    <w:rsid w:val="00050036"/>
    <w:rsid w:val="000515F2"/>
    <w:rsid w:val="0005580F"/>
    <w:rsid w:val="0006238A"/>
    <w:rsid w:val="00064CBC"/>
    <w:rsid w:val="000714F1"/>
    <w:rsid w:val="00073EAF"/>
    <w:rsid w:val="000800C3"/>
    <w:rsid w:val="00080174"/>
    <w:rsid w:val="00084EFC"/>
    <w:rsid w:val="00085D79"/>
    <w:rsid w:val="00087918"/>
    <w:rsid w:val="00087AF3"/>
    <w:rsid w:val="00087FD5"/>
    <w:rsid w:val="00093F04"/>
    <w:rsid w:val="00094D62"/>
    <w:rsid w:val="000950CF"/>
    <w:rsid w:val="000A08D6"/>
    <w:rsid w:val="000A1E88"/>
    <w:rsid w:val="000A2707"/>
    <w:rsid w:val="000A2AB9"/>
    <w:rsid w:val="000B1AA6"/>
    <w:rsid w:val="000B1CB2"/>
    <w:rsid w:val="000B65F5"/>
    <w:rsid w:val="000B6D6A"/>
    <w:rsid w:val="000C09B6"/>
    <w:rsid w:val="000C0BBB"/>
    <w:rsid w:val="000C0FD0"/>
    <w:rsid w:val="000C2003"/>
    <w:rsid w:val="000C2144"/>
    <w:rsid w:val="000C2A41"/>
    <w:rsid w:val="000C360A"/>
    <w:rsid w:val="000D1B86"/>
    <w:rsid w:val="000D3936"/>
    <w:rsid w:val="000D61F7"/>
    <w:rsid w:val="000E05FC"/>
    <w:rsid w:val="000E1DFE"/>
    <w:rsid w:val="000F5BFC"/>
    <w:rsid w:val="000F7872"/>
    <w:rsid w:val="001057BB"/>
    <w:rsid w:val="001066F9"/>
    <w:rsid w:val="00106AC6"/>
    <w:rsid w:val="00107482"/>
    <w:rsid w:val="00107B77"/>
    <w:rsid w:val="00107DB0"/>
    <w:rsid w:val="00110D08"/>
    <w:rsid w:val="00115EB7"/>
    <w:rsid w:val="00121159"/>
    <w:rsid w:val="00131A4C"/>
    <w:rsid w:val="00133466"/>
    <w:rsid w:val="0013386D"/>
    <w:rsid w:val="00134198"/>
    <w:rsid w:val="00137F6E"/>
    <w:rsid w:val="00142C02"/>
    <w:rsid w:val="001519E8"/>
    <w:rsid w:val="00155122"/>
    <w:rsid w:val="0015736D"/>
    <w:rsid w:val="0016027A"/>
    <w:rsid w:val="001637E7"/>
    <w:rsid w:val="00167D25"/>
    <w:rsid w:val="001709C1"/>
    <w:rsid w:val="00172F22"/>
    <w:rsid w:val="00174F98"/>
    <w:rsid w:val="00176D6B"/>
    <w:rsid w:val="00180AE6"/>
    <w:rsid w:val="00183E36"/>
    <w:rsid w:val="0019097F"/>
    <w:rsid w:val="00191575"/>
    <w:rsid w:val="001917E3"/>
    <w:rsid w:val="00194986"/>
    <w:rsid w:val="001956FA"/>
    <w:rsid w:val="001A1E11"/>
    <w:rsid w:val="001A4237"/>
    <w:rsid w:val="001A4BB9"/>
    <w:rsid w:val="001A5290"/>
    <w:rsid w:val="001A5C76"/>
    <w:rsid w:val="001A720B"/>
    <w:rsid w:val="001B0E4B"/>
    <w:rsid w:val="001B2581"/>
    <w:rsid w:val="001B4006"/>
    <w:rsid w:val="001C49EC"/>
    <w:rsid w:val="001D0D71"/>
    <w:rsid w:val="001D5897"/>
    <w:rsid w:val="001D5E28"/>
    <w:rsid w:val="001D5E95"/>
    <w:rsid w:val="001D6504"/>
    <w:rsid w:val="001D7BBC"/>
    <w:rsid w:val="001E2982"/>
    <w:rsid w:val="001E2BB8"/>
    <w:rsid w:val="001E39EA"/>
    <w:rsid w:val="001E3B44"/>
    <w:rsid w:val="001E40A6"/>
    <w:rsid w:val="001F46D8"/>
    <w:rsid w:val="001F4E66"/>
    <w:rsid w:val="001F6FCA"/>
    <w:rsid w:val="00204332"/>
    <w:rsid w:val="002046A7"/>
    <w:rsid w:val="00211070"/>
    <w:rsid w:val="0021655A"/>
    <w:rsid w:val="00217FBA"/>
    <w:rsid w:val="002200B1"/>
    <w:rsid w:val="002239DE"/>
    <w:rsid w:val="00224DB5"/>
    <w:rsid w:val="00225345"/>
    <w:rsid w:val="00226C8E"/>
    <w:rsid w:val="0023267A"/>
    <w:rsid w:val="00233080"/>
    <w:rsid w:val="00233C73"/>
    <w:rsid w:val="00234CC3"/>
    <w:rsid w:val="00236B94"/>
    <w:rsid w:val="002437BE"/>
    <w:rsid w:val="002442B7"/>
    <w:rsid w:val="00244948"/>
    <w:rsid w:val="002460F2"/>
    <w:rsid w:val="00246F9A"/>
    <w:rsid w:val="00255B07"/>
    <w:rsid w:val="002600CD"/>
    <w:rsid w:val="00260655"/>
    <w:rsid w:val="00260952"/>
    <w:rsid w:val="0026501A"/>
    <w:rsid w:val="002741CB"/>
    <w:rsid w:val="002772EF"/>
    <w:rsid w:val="00280DA8"/>
    <w:rsid w:val="002832F0"/>
    <w:rsid w:val="00283FD6"/>
    <w:rsid w:val="00284610"/>
    <w:rsid w:val="00285D97"/>
    <w:rsid w:val="00285E84"/>
    <w:rsid w:val="0028719C"/>
    <w:rsid w:val="002906A3"/>
    <w:rsid w:val="00292EE3"/>
    <w:rsid w:val="00293E54"/>
    <w:rsid w:val="00295CC8"/>
    <w:rsid w:val="002969A9"/>
    <w:rsid w:val="002A1B46"/>
    <w:rsid w:val="002A4705"/>
    <w:rsid w:val="002B0857"/>
    <w:rsid w:val="002B45A0"/>
    <w:rsid w:val="002B475E"/>
    <w:rsid w:val="002B68DF"/>
    <w:rsid w:val="002C3400"/>
    <w:rsid w:val="002D04E3"/>
    <w:rsid w:val="002D094F"/>
    <w:rsid w:val="002D2AE5"/>
    <w:rsid w:val="002D3FD6"/>
    <w:rsid w:val="002D5F60"/>
    <w:rsid w:val="002D61C3"/>
    <w:rsid w:val="002D7C76"/>
    <w:rsid w:val="002E052C"/>
    <w:rsid w:val="002E6911"/>
    <w:rsid w:val="002F0089"/>
    <w:rsid w:val="002F00AD"/>
    <w:rsid w:val="002F0CBE"/>
    <w:rsid w:val="002F11BC"/>
    <w:rsid w:val="003004F3"/>
    <w:rsid w:val="0030206F"/>
    <w:rsid w:val="003023D2"/>
    <w:rsid w:val="003030BE"/>
    <w:rsid w:val="003039A7"/>
    <w:rsid w:val="00305B4C"/>
    <w:rsid w:val="00312369"/>
    <w:rsid w:val="00312652"/>
    <w:rsid w:val="003132A5"/>
    <w:rsid w:val="00315681"/>
    <w:rsid w:val="00315A8F"/>
    <w:rsid w:val="0031641A"/>
    <w:rsid w:val="00316688"/>
    <w:rsid w:val="003209DD"/>
    <w:rsid w:val="003210D8"/>
    <w:rsid w:val="0032567C"/>
    <w:rsid w:val="00327F04"/>
    <w:rsid w:val="00331BEC"/>
    <w:rsid w:val="00332510"/>
    <w:rsid w:val="00335E32"/>
    <w:rsid w:val="00335F30"/>
    <w:rsid w:val="0033694A"/>
    <w:rsid w:val="00340CCC"/>
    <w:rsid w:val="00340E19"/>
    <w:rsid w:val="003410D3"/>
    <w:rsid w:val="00343177"/>
    <w:rsid w:val="003432D5"/>
    <w:rsid w:val="003439EE"/>
    <w:rsid w:val="00347BB3"/>
    <w:rsid w:val="0035021C"/>
    <w:rsid w:val="00352434"/>
    <w:rsid w:val="00357D93"/>
    <w:rsid w:val="00360FF8"/>
    <w:rsid w:val="003624B7"/>
    <w:rsid w:val="00364AA3"/>
    <w:rsid w:val="0037157D"/>
    <w:rsid w:val="003716C4"/>
    <w:rsid w:val="003725A3"/>
    <w:rsid w:val="003727CA"/>
    <w:rsid w:val="00374D25"/>
    <w:rsid w:val="00375095"/>
    <w:rsid w:val="00377A9C"/>
    <w:rsid w:val="00380704"/>
    <w:rsid w:val="003822F3"/>
    <w:rsid w:val="0038472E"/>
    <w:rsid w:val="003850E6"/>
    <w:rsid w:val="0038785E"/>
    <w:rsid w:val="0039056C"/>
    <w:rsid w:val="00396677"/>
    <w:rsid w:val="003A616C"/>
    <w:rsid w:val="003A63E8"/>
    <w:rsid w:val="003A6AFF"/>
    <w:rsid w:val="003A7650"/>
    <w:rsid w:val="003A7C56"/>
    <w:rsid w:val="003A7DAD"/>
    <w:rsid w:val="003B3B3B"/>
    <w:rsid w:val="003B4E17"/>
    <w:rsid w:val="003B6005"/>
    <w:rsid w:val="003C06C4"/>
    <w:rsid w:val="003C218D"/>
    <w:rsid w:val="003C3535"/>
    <w:rsid w:val="003D5D84"/>
    <w:rsid w:val="003E191B"/>
    <w:rsid w:val="003E3B0C"/>
    <w:rsid w:val="003E58CB"/>
    <w:rsid w:val="003F34B6"/>
    <w:rsid w:val="003F450B"/>
    <w:rsid w:val="003F6D0B"/>
    <w:rsid w:val="003F7D34"/>
    <w:rsid w:val="004002AD"/>
    <w:rsid w:val="0040155B"/>
    <w:rsid w:val="0040179E"/>
    <w:rsid w:val="00402858"/>
    <w:rsid w:val="00405B5F"/>
    <w:rsid w:val="00411A89"/>
    <w:rsid w:val="00415959"/>
    <w:rsid w:val="00425FC5"/>
    <w:rsid w:val="00426D7A"/>
    <w:rsid w:val="00427797"/>
    <w:rsid w:val="004300CB"/>
    <w:rsid w:val="00430CF4"/>
    <w:rsid w:val="0043281A"/>
    <w:rsid w:val="0043444A"/>
    <w:rsid w:val="00437EC2"/>
    <w:rsid w:val="004553CA"/>
    <w:rsid w:val="004560E4"/>
    <w:rsid w:val="004563CB"/>
    <w:rsid w:val="00456451"/>
    <w:rsid w:val="00457870"/>
    <w:rsid w:val="00462644"/>
    <w:rsid w:val="00463A03"/>
    <w:rsid w:val="00465BD4"/>
    <w:rsid w:val="004667B7"/>
    <w:rsid w:val="004676EC"/>
    <w:rsid w:val="00470570"/>
    <w:rsid w:val="0047746D"/>
    <w:rsid w:val="00481232"/>
    <w:rsid w:val="004845C0"/>
    <w:rsid w:val="004874B7"/>
    <w:rsid w:val="00491D9A"/>
    <w:rsid w:val="004928B8"/>
    <w:rsid w:val="004A03BE"/>
    <w:rsid w:val="004A07AC"/>
    <w:rsid w:val="004A25B5"/>
    <w:rsid w:val="004A5B1E"/>
    <w:rsid w:val="004A7047"/>
    <w:rsid w:val="004A7D2F"/>
    <w:rsid w:val="004B1425"/>
    <w:rsid w:val="004B4AF8"/>
    <w:rsid w:val="004B5CF5"/>
    <w:rsid w:val="004B6CA8"/>
    <w:rsid w:val="004B712F"/>
    <w:rsid w:val="004C0889"/>
    <w:rsid w:val="004C13CC"/>
    <w:rsid w:val="004C3210"/>
    <w:rsid w:val="004CD06D"/>
    <w:rsid w:val="004D1696"/>
    <w:rsid w:val="004D1C63"/>
    <w:rsid w:val="004D1D1C"/>
    <w:rsid w:val="004D3EF4"/>
    <w:rsid w:val="004E4DE3"/>
    <w:rsid w:val="004E5DC2"/>
    <w:rsid w:val="004F0DA9"/>
    <w:rsid w:val="004F10BC"/>
    <w:rsid w:val="004F1AD2"/>
    <w:rsid w:val="004F6A69"/>
    <w:rsid w:val="00500094"/>
    <w:rsid w:val="005008ED"/>
    <w:rsid w:val="00507430"/>
    <w:rsid w:val="00521634"/>
    <w:rsid w:val="00521BB2"/>
    <w:rsid w:val="00525FC1"/>
    <w:rsid w:val="00527E1B"/>
    <w:rsid w:val="00527E8F"/>
    <w:rsid w:val="005314E9"/>
    <w:rsid w:val="00533479"/>
    <w:rsid w:val="005353AB"/>
    <w:rsid w:val="00537374"/>
    <w:rsid w:val="00537926"/>
    <w:rsid w:val="00541E99"/>
    <w:rsid w:val="005421A4"/>
    <w:rsid w:val="005476B8"/>
    <w:rsid w:val="00552892"/>
    <w:rsid w:val="005561C2"/>
    <w:rsid w:val="00561173"/>
    <w:rsid w:val="00563E35"/>
    <w:rsid w:val="005677B7"/>
    <w:rsid w:val="00570667"/>
    <w:rsid w:val="00572BE8"/>
    <w:rsid w:val="00575E50"/>
    <w:rsid w:val="00576E36"/>
    <w:rsid w:val="005774C1"/>
    <w:rsid w:val="0058004B"/>
    <w:rsid w:val="005819B6"/>
    <w:rsid w:val="00582FF2"/>
    <w:rsid w:val="00583C4D"/>
    <w:rsid w:val="00583F11"/>
    <w:rsid w:val="00584BE3"/>
    <w:rsid w:val="00586AA7"/>
    <w:rsid w:val="00591CE3"/>
    <w:rsid w:val="00593050"/>
    <w:rsid w:val="00597E7D"/>
    <w:rsid w:val="005A1400"/>
    <w:rsid w:val="005A2434"/>
    <w:rsid w:val="005A4614"/>
    <w:rsid w:val="005A713D"/>
    <w:rsid w:val="005B5000"/>
    <w:rsid w:val="005B5E74"/>
    <w:rsid w:val="005B74CA"/>
    <w:rsid w:val="005C54AE"/>
    <w:rsid w:val="005D0D65"/>
    <w:rsid w:val="005D1755"/>
    <w:rsid w:val="005D4E16"/>
    <w:rsid w:val="005E55FC"/>
    <w:rsid w:val="005F0B84"/>
    <w:rsid w:val="005F1B95"/>
    <w:rsid w:val="005F3EC8"/>
    <w:rsid w:val="005F7723"/>
    <w:rsid w:val="00601B61"/>
    <w:rsid w:val="00603656"/>
    <w:rsid w:val="00605952"/>
    <w:rsid w:val="006060A2"/>
    <w:rsid w:val="00607CCB"/>
    <w:rsid w:val="0061634F"/>
    <w:rsid w:val="0062198D"/>
    <w:rsid w:val="00622218"/>
    <w:rsid w:val="00622D9D"/>
    <w:rsid w:val="00624843"/>
    <w:rsid w:val="00625134"/>
    <w:rsid w:val="00626056"/>
    <w:rsid w:val="00631884"/>
    <w:rsid w:val="0064020A"/>
    <w:rsid w:val="006447B3"/>
    <w:rsid w:val="00650735"/>
    <w:rsid w:val="006730B8"/>
    <w:rsid w:val="0067520E"/>
    <w:rsid w:val="0067606A"/>
    <w:rsid w:val="00680FF0"/>
    <w:rsid w:val="00685F7C"/>
    <w:rsid w:val="00691C93"/>
    <w:rsid w:val="00691CD9"/>
    <w:rsid w:val="00694C33"/>
    <w:rsid w:val="00697ED1"/>
    <w:rsid w:val="006A2F58"/>
    <w:rsid w:val="006A708F"/>
    <w:rsid w:val="006B096D"/>
    <w:rsid w:val="006B0EF3"/>
    <w:rsid w:val="006B26F4"/>
    <w:rsid w:val="006B284C"/>
    <w:rsid w:val="006B2ADB"/>
    <w:rsid w:val="006B4FC7"/>
    <w:rsid w:val="006B52EA"/>
    <w:rsid w:val="006B5C00"/>
    <w:rsid w:val="006C1C56"/>
    <w:rsid w:val="006C24C8"/>
    <w:rsid w:val="006C250C"/>
    <w:rsid w:val="006C322A"/>
    <w:rsid w:val="006C42BC"/>
    <w:rsid w:val="006C4C38"/>
    <w:rsid w:val="006D35CD"/>
    <w:rsid w:val="006D56D9"/>
    <w:rsid w:val="006D6A13"/>
    <w:rsid w:val="006E1E16"/>
    <w:rsid w:val="006E3D49"/>
    <w:rsid w:val="006F2FDC"/>
    <w:rsid w:val="006F649B"/>
    <w:rsid w:val="006F6789"/>
    <w:rsid w:val="006F7FE6"/>
    <w:rsid w:val="00700224"/>
    <w:rsid w:val="00706BD7"/>
    <w:rsid w:val="00710F57"/>
    <w:rsid w:val="00711373"/>
    <w:rsid w:val="00711D04"/>
    <w:rsid w:val="0071401E"/>
    <w:rsid w:val="00716E9C"/>
    <w:rsid w:val="00717CDD"/>
    <w:rsid w:val="00721785"/>
    <w:rsid w:val="00722604"/>
    <w:rsid w:val="00725449"/>
    <w:rsid w:val="007259D1"/>
    <w:rsid w:val="00726874"/>
    <w:rsid w:val="007322ED"/>
    <w:rsid w:val="00735BE4"/>
    <w:rsid w:val="0074052B"/>
    <w:rsid w:val="00740B1F"/>
    <w:rsid w:val="00741A22"/>
    <w:rsid w:val="00742055"/>
    <w:rsid w:val="0074373C"/>
    <w:rsid w:val="00745961"/>
    <w:rsid w:val="0074697B"/>
    <w:rsid w:val="00760CD0"/>
    <w:rsid w:val="007723AF"/>
    <w:rsid w:val="00774673"/>
    <w:rsid w:val="00774E0F"/>
    <w:rsid w:val="00776001"/>
    <w:rsid w:val="007767A6"/>
    <w:rsid w:val="00780BDD"/>
    <w:rsid w:val="00780FEB"/>
    <w:rsid w:val="00782072"/>
    <w:rsid w:val="00782409"/>
    <w:rsid w:val="00783FEF"/>
    <w:rsid w:val="007851E3"/>
    <w:rsid w:val="00785C04"/>
    <w:rsid w:val="00791130"/>
    <w:rsid w:val="007925FB"/>
    <w:rsid w:val="00793482"/>
    <w:rsid w:val="00794C56"/>
    <w:rsid w:val="00796447"/>
    <w:rsid w:val="007A41B7"/>
    <w:rsid w:val="007A4C2B"/>
    <w:rsid w:val="007A6759"/>
    <w:rsid w:val="007A6E20"/>
    <w:rsid w:val="007A7918"/>
    <w:rsid w:val="007B1F10"/>
    <w:rsid w:val="007B2C29"/>
    <w:rsid w:val="007B4F49"/>
    <w:rsid w:val="007C1D8F"/>
    <w:rsid w:val="007C3259"/>
    <w:rsid w:val="007C5E7E"/>
    <w:rsid w:val="007C7698"/>
    <w:rsid w:val="007D1480"/>
    <w:rsid w:val="007D1D0A"/>
    <w:rsid w:val="007D1FE5"/>
    <w:rsid w:val="007D686F"/>
    <w:rsid w:val="007E3254"/>
    <w:rsid w:val="007E4915"/>
    <w:rsid w:val="007E647A"/>
    <w:rsid w:val="007E71D8"/>
    <w:rsid w:val="007F5112"/>
    <w:rsid w:val="00800E3E"/>
    <w:rsid w:val="008012D0"/>
    <w:rsid w:val="00801741"/>
    <w:rsid w:val="00806367"/>
    <w:rsid w:val="00813BD6"/>
    <w:rsid w:val="00816716"/>
    <w:rsid w:val="0082187F"/>
    <w:rsid w:val="00821E65"/>
    <w:rsid w:val="008234B9"/>
    <w:rsid w:val="00825249"/>
    <w:rsid w:val="00827055"/>
    <w:rsid w:val="0083131A"/>
    <w:rsid w:val="00831791"/>
    <w:rsid w:val="00832AA9"/>
    <w:rsid w:val="0083328F"/>
    <w:rsid w:val="00833B61"/>
    <w:rsid w:val="0084003B"/>
    <w:rsid w:val="00841C1D"/>
    <w:rsid w:val="00843E8E"/>
    <w:rsid w:val="00844935"/>
    <w:rsid w:val="008469ED"/>
    <w:rsid w:val="00850DBA"/>
    <w:rsid w:val="00853E06"/>
    <w:rsid w:val="00854818"/>
    <w:rsid w:val="008607CD"/>
    <w:rsid w:val="0086625F"/>
    <w:rsid w:val="00866FBF"/>
    <w:rsid w:val="00867ABA"/>
    <w:rsid w:val="00871F84"/>
    <w:rsid w:val="00872BDB"/>
    <w:rsid w:val="00872D9B"/>
    <w:rsid w:val="00877570"/>
    <w:rsid w:val="00882DBF"/>
    <w:rsid w:val="0088399F"/>
    <w:rsid w:val="0089757A"/>
    <w:rsid w:val="008A2A17"/>
    <w:rsid w:val="008A5FB1"/>
    <w:rsid w:val="008A7162"/>
    <w:rsid w:val="008B0BFD"/>
    <w:rsid w:val="008B1A31"/>
    <w:rsid w:val="008B3CED"/>
    <w:rsid w:val="008C17D4"/>
    <w:rsid w:val="008C19E0"/>
    <w:rsid w:val="008C1DCF"/>
    <w:rsid w:val="008C3ABD"/>
    <w:rsid w:val="008C5197"/>
    <w:rsid w:val="008C770F"/>
    <w:rsid w:val="008D0CA6"/>
    <w:rsid w:val="008D1CA0"/>
    <w:rsid w:val="008D20A5"/>
    <w:rsid w:val="008D3AD4"/>
    <w:rsid w:val="008D4281"/>
    <w:rsid w:val="008D4AFA"/>
    <w:rsid w:val="008D4F86"/>
    <w:rsid w:val="008E5D67"/>
    <w:rsid w:val="008E6580"/>
    <w:rsid w:val="008E7EAC"/>
    <w:rsid w:val="008F0B95"/>
    <w:rsid w:val="008F50EF"/>
    <w:rsid w:val="008F527F"/>
    <w:rsid w:val="008F5DB9"/>
    <w:rsid w:val="008F68D9"/>
    <w:rsid w:val="008F7806"/>
    <w:rsid w:val="00904390"/>
    <w:rsid w:val="00905FC8"/>
    <w:rsid w:val="0091345F"/>
    <w:rsid w:val="0091707A"/>
    <w:rsid w:val="00922A0D"/>
    <w:rsid w:val="00926843"/>
    <w:rsid w:val="00926A9B"/>
    <w:rsid w:val="00931B6F"/>
    <w:rsid w:val="009323A9"/>
    <w:rsid w:val="00934242"/>
    <w:rsid w:val="00937BED"/>
    <w:rsid w:val="009442E3"/>
    <w:rsid w:val="0094596C"/>
    <w:rsid w:val="0094737A"/>
    <w:rsid w:val="00952327"/>
    <w:rsid w:val="00953E6C"/>
    <w:rsid w:val="009541C9"/>
    <w:rsid w:val="0095698A"/>
    <w:rsid w:val="00957058"/>
    <w:rsid w:val="00961F61"/>
    <w:rsid w:val="00962B94"/>
    <w:rsid w:val="0096367F"/>
    <w:rsid w:val="00963C1F"/>
    <w:rsid w:val="00966618"/>
    <w:rsid w:val="009670FF"/>
    <w:rsid w:val="00971FB0"/>
    <w:rsid w:val="009720EA"/>
    <w:rsid w:val="00972F39"/>
    <w:rsid w:val="009742B7"/>
    <w:rsid w:val="0097580F"/>
    <w:rsid w:val="00981059"/>
    <w:rsid w:val="00982FA5"/>
    <w:rsid w:val="00983661"/>
    <w:rsid w:val="009916A9"/>
    <w:rsid w:val="00992DC1"/>
    <w:rsid w:val="00994B24"/>
    <w:rsid w:val="00995D74"/>
    <w:rsid w:val="009A076E"/>
    <w:rsid w:val="009A6E4E"/>
    <w:rsid w:val="009A76C8"/>
    <w:rsid w:val="009B0B52"/>
    <w:rsid w:val="009B538B"/>
    <w:rsid w:val="009B56CB"/>
    <w:rsid w:val="009B5FB9"/>
    <w:rsid w:val="009B6A1F"/>
    <w:rsid w:val="009B7F91"/>
    <w:rsid w:val="009C155B"/>
    <w:rsid w:val="009C3E7F"/>
    <w:rsid w:val="009C64DE"/>
    <w:rsid w:val="009C6858"/>
    <w:rsid w:val="009D05D3"/>
    <w:rsid w:val="009D3F6B"/>
    <w:rsid w:val="009E6838"/>
    <w:rsid w:val="009F2885"/>
    <w:rsid w:val="009F7C5A"/>
    <w:rsid w:val="00A00BD6"/>
    <w:rsid w:val="00A02378"/>
    <w:rsid w:val="00A034CE"/>
    <w:rsid w:val="00A12C85"/>
    <w:rsid w:val="00A13D83"/>
    <w:rsid w:val="00A1456A"/>
    <w:rsid w:val="00A200BC"/>
    <w:rsid w:val="00A20EB8"/>
    <w:rsid w:val="00A2284D"/>
    <w:rsid w:val="00A23661"/>
    <w:rsid w:val="00A409B1"/>
    <w:rsid w:val="00A41CF3"/>
    <w:rsid w:val="00A42241"/>
    <w:rsid w:val="00A429C2"/>
    <w:rsid w:val="00A42A44"/>
    <w:rsid w:val="00A5054E"/>
    <w:rsid w:val="00A56C58"/>
    <w:rsid w:val="00A646F5"/>
    <w:rsid w:val="00A6588F"/>
    <w:rsid w:val="00A67559"/>
    <w:rsid w:val="00A80B4C"/>
    <w:rsid w:val="00A8162E"/>
    <w:rsid w:val="00A84FE3"/>
    <w:rsid w:val="00A85312"/>
    <w:rsid w:val="00A92C68"/>
    <w:rsid w:val="00A92E30"/>
    <w:rsid w:val="00A950F3"/>
    <w:rsid w:val="00A9634B"/>
    <w:rsid w:val="00A97602"/>
    <w:rsid w:val="00AA32EA"/>
    <w:rsid w:val="00AB2F32"/>
    <w:rsid w:val="00AB2F9A"/>
    <w:rsid w:val="00AC21C2"/>
    <w:rsid w:val="00AC417A"/>
    <w:rsid w:val="00AC65BA"/>
    <w:rsid w:val="00AD0549"/>
    <w:rsid w:val="00AD0D32"/>
    <w:rsid w:val="00AD3712"/>
    <w:rsid w:val="00AD4E6D"/>
    <w:rsid w:val="00AE1781"/>
    <w:rsid w:val="00AE3670"/>
    <w:rsid w:val="00AE4F6F"/>
    <w:rsid w:val="00AE63E1"/>
    <w:rsid w:val="00AF07B9"/>
    <w:rsid w:val="00AF17CA"/>
    <w:rsid w:val="00AF30F2"/>
    <w:rsid w:val="00B055B1"/>
    <w:rsid w:val="00B138D1"/>
    <w:rsid w:val="00B149C9"/>
    <w:rsid w:val="00B178D4"/>
    <w:rsid w:val="00B1795C"/>
    <w:rsid w:val="00B20B76"/>
    <w:rsid w:val="00B2352B"/>
    <w:rsid w:val="00B24540"/>
    <w:rsid w:val="00B2588F"/>
    <w:rsid w:val="00B26903"/>
    <w:rsid w:val="00B37395"/>
    <w:rsid w:val="00B37AB8"/>
    <w:rsid w:val="00B40327"/>
    <w:rsid w:val="00B44638"/>
    <w:rsid w:val="00B4710F"/>
    <w:rsid w:val="00B54872"/>
    <w:rsid w:val="00B5628F"/>
    <w:rsid w:val="00B56D9B"/>
    <w:rsid w:val="00B576E9"/>
    <w:rsid w:val="00B600EF"/>
    <w:rsid w:val="00B61D4A"/>
    <w:rsid w:val="00B65791"/>
    <w:rsid w:val="00B71F48"/>
    <w:rsid w:val="00B72188"/>
    <w:rsid w:val="00B75079"/>
    <w:rsid w:val="00B7532A"/>
    <w:rsid w:val="00B76226"/>
    <w:rsid w:val="00B7750D"/>
    <w:rsid w:val="00B85F4D"/>
    <w:rsid w:val="00B86D61"/>
    <w:rsid w:val="00B9067B"/>
    <w:rsid w:val="00B927F7"/>
    <w:rsid w:val="00B94085"/>
    <w:rsid w:val="00B94A11"/>
    <w:rsid w:val="00B96FF1"/>
    <w:rsid w:val="00BA056F"/>
    <w:rsid w:val="00BA09B9"/>
    <w:rsid w:val="00BA1A4A"/>
    <w:rsid w:val="00BA456A"/>
    <w:rsid w:val="00BA7F08"/>
    <w:rsid w:val="00BB0840"/>
    <w:rsid w:val="00BB2341"/>
    <w:rsid w:val="00BB2434"/>
    <w:rsid w:val="00BB3906"/>
    <w:rsid w:val="00BC1803"/>
    <w:rsid w:val="00BC25EA"/>
    <w:rsid w:val="00BC28C5"/>
    <w:rsid w:val="00BC2D69"/>
    <w:rsid w:val="00BC65FB"/>
    <w:rsid w:val="00BC7CFD"/>
    <w:rsid w:val="00BD0481"/>
    <w:rsid w:val="00BD08C0"/>
    <w:rsid w:val="00BD1A68"/>
    <w:rsid w:val="00BD2EF8"/>
    <w:rsid w:val="00BD3B13"/>
    <w:rsid w:val="00BD4609"/>
    <w:rsid w:val="00BD4785"/>
    <w:rsid w:val="00BD5FC0"/>
    <w:rsid w:val="00BD6FCC"/>
    <w:rsid w:val="00BE089E"/>
    <w:rsid w:val="00BE4792"/>
    <w:rsid w:val="00BE4E6C"/>
    <w:rsid w:val="00BE5484"/>
    <w:rsid w:val="00BE579E"/>
    <w:rsid w:val="00BE5F6A"/>
    <w:rsid w:val="00BF376A"/>
    <w:rsid w:val="00BF3B90"/>
    <w:rsid w:val="00BF5354"/>
    <w:rsid w:val="00BF7569"/>
    <w:rsid w:val="00C00C4E"/>
    <w:rsid w:val="00C03C74"/>
    <w:rsid w:val="00C04F0D"/>
    <w:rsid w:val="00C056A4"/>
    <w:rsid w:val="00C10604"/>
    <w:rsid w:val="00C1197B"/>
    <w:rsid w:val="00C14140"/>
    <w:rsid w:val="00C21B2E"/>
    <w:rsid w:val="00C247F6"/>
    <w:rsid w:val="00C30222"/>
    <w:rsid w:val="00C31241"/>
    <w:rsid w:val="00C326CA"/>
    <w:rsid w:val="00C34A81"/>
    <w:rsid w:val="00C35169"/>
    <w:rsid w:val="00C360AE"/>
    <w:rsid w:val="00C40959"/>
    <w:rsid w:val="00C45987"/>
    <w:rsid w:val="00C52DA6"/>
    <w:rsid w:val="00C53AB5"/>
    <w:rsid w:val="00C57936"/>
    <w:rsid w:val="00C57D2D"/>
    <w:rsid w:val="00C60477"/>
    <w:rsid w:val="00C63BA8"/>
    <w:rsid w:val="00C64177"/>
    <w:rsid w:val="00C72AC4"/>
    <w:rsid w:val="00C76224"/>
    <w:rsid w:val="00C82610"/>
    <w:rsid w:val="00C8464E"/>
    <w:rsid w:val="00C90803"/>
    <w:rsid w:val="00C91D2B"/>
    <w:rsid w:val="00C93434"/>
    <w:rsid w:val="00C95B62"/>
    <w:rsid w:val="00C96AA5"/>
    <w:rsid w:val="00C9750B"/>
    <w:rsid w:val="00C97A79"/>
    <w:rsid w:val="00CA022D"/>
    <w:rsid w:val="00CA460E"/>
    <w:rsid w:val="00CA705F"/>
    <w:rsid w:val="00CB0FD2"/>
    <w:rsid w:val="00CB22BD"/>
    <w:rsid w:val="00CC05E2"/>
    <w:rsid w:val="00CC2EE5"/>
    <w:rsid w:val="00CC4D41"/>
    <w:rsid w:val="00CC532C"/>
    <w:rsid w:val="00CC5DA0"/>
    <w:rsid w:val="00CD0C6B"/>
    <w:rsid w:val="00CD1B5F"/>
    <w:rsid w:val="00CD3DE6"/>
    <w:rsid w:val="00CD7224"/>
    <w:rsid w:val="00CE2A10"/>
    <w:rsid w:val="00CE626C"/>
    <w:rsid w:val="00CF2B79"/>
    <w:rsid w:val="00CF2F37"/>
    <w:rsid w:val="00CF7138"/>
    <w:rsid w:val="00CF7A25"/>
    <w:rsid w:val="00D00FE0"/>
    <w:rsid w:val="00D01A18"/>
    <w:rsid w:val="00D030FB"/>
    <w:rsid w:val="00D03A4C"/>
    <w:rsid w:val="00D04449"/>
    <w:rsid w:val="00D07A20"/>
    <w:rsid w:val="00D13765"/>
    <w:rsid w:val="00D1452D"/>
    <w:rsid w:val="00D160A7"/>
    <w:rsid w:val="00D17F0B"/>
    <w:rsid w:val="00D219C0"/>
    <w:rsid w:val="00D25B0F"/>
    <w:rsid w:val="00D27682"/>
    <w:rsid w:val="00D30369"/>
    <w:rsid w:val="00D31147"/>
    <w:rsid w:val="00D350E9"/>
    <w:rsid w:val="00D433E1"/>
    <w:rsid w:val="00D52696"/>
    <w:rsid w:val="00D73176"/>
    <w:rsid w:val="00D73ACA"/>
    <w:rsid w:val="00D74180"/>
    <w:rsid w:val="00D76AFD"/>
    <w:rsid w:val="00D80AA3"/>
    <w:rsid w:val="00D810E4"/>
    <w:rsid w:val="00D828F8"/>
    <w:rsid w:val="00D82C66"/>
    <w:rsid w:val="00D86232"/>
    <w:rsid w:val="00D9268B"/>
    <w:rsid w:val="00D94AE9"/>
    <w:rsid w:val="00D978E2"/>
    <w:rsid w:val="00DA0D64"/>
    <w:rsid w:val="00DA397B"/>
    <w:rsid w:val="00DA4214"/>
    <w:rsid w:val="00DA478F"/>
    <w:rsid w:val="00DB03AD"/>
    <w:rsid w:val="00DB0532"/>
    <w:rsid w:val="00DB08F5"/>
    <w:rsid w:val="00DB160D"/>
    <w:rsid w:val="00DB6842"/>
    <w:rsid w:val="00DB7B81"/>
    <w:rsid w:val="00DC233C"/>
    <w:rsid w:val="00DD49AD"/>
    <w:rsid w:val="00DE3D74"/>
    <w:rsid w:val="00DE4D60"/>
    <w:rsid w:val="00DE6E5D"/>
    <w:rsid w:val="00DF24E6"/>
    <w:rsid w:val="00DF26C6"/>
    <w:rsid w:val="00DF3D34"/>
    <w:rsid w:val="00DF4F12"/>
    <w:rsid w:val="00DF56F6"/>
    <w:rsid w:val="00DF6128"/>
    <w:rsid w:val="00DF7A87"/>
    <w:rsid w:val="00E00E3B"/>
    <w:rsid w:val="00E02CC5"/>
    <w:rsid w:val="00E055EB"/>
    <w:rsid w:val="00E10F17"/>
    <w:rsid w:val="00E22043"/>
    <w:rsid w:val="00E23BE3"/>
    <w:rsid w:val="00E256CA"/>
    <w:rsid w:val="00E3037B"/>
    <w:rsid w:val="00E332DD"/>
    <w:rsid w:val="00E416A3"/>
    <w:rsid w:val="00E433D8"/>
    <w:rsid w:val="00E45146"/>
    <w:rsid w:val="00E514AF"/>
    <w:rsid w:val="00E52902"/>
    <w:rsid w:val="00E53213"/>
    <w:rsid w:val="00E5592B"/>
    <w:rsid w:val="00E56F52"/>
    <w:rsid w:val="00E63FC1"/>
    <w:rsid w:val="00E64D42"/>
    <w:rsid w:val="00E654DC"/>
    <w:rsid w:val="00E65D8B"/>
    <w:rsid w:val="00E71CCD"/>
    <w:rsid w:val="00E752DC"/>
    <w:rsid w:val="00E76431"/>
    <w:rsid w:val="00E80D9E"/>
    <w:rsid w:val="00E80EA9"/>
    <w:rsid w:val="00E821CB"/>
    <w:rsid w:val="00E83DBE"/>
    <w:rsid w:val="00E84C06"/>
    <w:rsid w:val="00E860AE"/>
    <w:rsid w:val="00E90F8F"/>
    <w:rsid w:val="00E95199"/>
    <w:rsid w:val="00EA1EAE"/>
    <w:rsid w:val="00EA3044"/>
    <w:rsid w:val="00EA5227"/>
    <w:rsid w:val="00EB4EB3"/>
    <w:rsid w:val="00EB60E4"/>
    <w:rsid w:val="00EB6422"/>
    <w:rsid w:val="00EB6A30"/>
    <w:rsid w:val="00EB6BCF"/>
    <w:rsid w:val="00EC1859"/>
    <w:rsid w:val="00EC1D03"/>
    <w:rsid w:val="00EC4087"/>
    <w:rsid w:val="00EC6131"/>
    <w:rsid w:val="00ED02AE"/>
    <w:rsid w:val="00ED1B71"/>
    <w:rsid w:val="00ED2A9F"/>
    <w:rsid w:val="00ED304D"/>
    <w:rsid w:val="00EE14CC"/>
    <w:rsid w:val="00EE25A2"/>
    <w:rsid w:val="00EE2725"/>
    <w:rsid w:val="00EE4F8E"/>
    <w:rsid w:val="00EE5C63"/>
    <w:rsid w:val="00EE72BF"/>
    <w:rsid w:val="00EF5A2E"/>
    <w:rsid w:val="00EF7F07"/>
    <w:rsid w:val="00F00194"/>
    <w:rsid w:val="00F0551B"/>
    <w:rsid w:val="00F05B3C"/>
    <w:rsid w:val="00F05EE8"/>
    <w:rsid w:val="00F1335F"/>
    <w:rsid w:val="00F13E88"/>
    <w:rsid w:val="00F17B30"/>
    <w:rsid w:val="00F20DB6"/>
    <w:rsid w:val="00F20EAD"/>
    <w:rsid w:val="00F20EDE"/>
    <w:rsid w:val="00F22549"/>
    <w:rsid w:val="00F26DF2"/>
    <w:rsid w:val="00F32819"/>
    <w:rsid w:val="00F42AE7"/>
    <w:rsid w:val="00F47219"/>
    <w:rsid w:val="00F6192D"/>
    <w:rsid w:val="00F62DC7"/>
    <w:rsid w:val="00F74502"/>
    <w:rsid w:val="00F7466F"/>
    <w:rsid w:val="00F751B9"/>
    <w:rsid w:val="00F77E5C"/>
    <w:rsid w:val="00F77E71"/>
    <w:rsid w:val="00F85AF9"/>
    <w:rsid w:val="00F86B20"/>
    <w:rsid w:val="00F909BF"/>
    <w:rsid w:val="00F90FBC"/>
    <w:rsid w:val="00F9181D"/>
    <w:rsid w:val="00F91F98"/>
    <w:rsid w:val="00F92083"/>
    <w:rsid w:val="00F95476"/>
    <w:rsid w:val="00FA12C8"/>
    <w:rsid w:val="00FA4217"/>
    <w:rsid w:val="00FA4B35"/>
    <w:rsid w:val="00FA4E7B"/>
    <w:rsid w:val="00FA7B98"/>
    <w:rsid w:val="00FB4B56"/>
    <w:rsid w:val="00FC48B6"/>
    <w:rsid w:val="00FC6462"/>
    <w:rsid w:val="00FC7E11"/>
    <w:rsid w:val="00FD0653"/>
    <w:rsid w:val="00FD1CAA"/>
    <w:rsid w:val="00FD2161"/>
    <w:rsid w:val="00FD21FB"/>
    <w:rsid w:val="00FD73EF"/>
    <w:rsid w:val="00FD7870"/>
    <w:rsid w:val="00FE5692"/>
    <w:rsid w:val="00FE773B"/>
    <w:rsid w:val="00FF0B40"/>
    <w:rsid w:val="00FF1556"/>
    <w:rsid w:val="00FF697F"/>
    <w:rsid w:val="013C9C28"/>
    <w:rsid w:val="01AE4488"/>
    <w:rsid w:val="02712CA4"/>
    <w:rsid w:val="027B9AA1"/>
    <w:rsid w:val="03AC230F"/>
    <w:rsid w:val="0527704A"/>
    <w:rsid w:val="06DEAFD0"/>
    <w:rsid w:val="09B98AF9"/>
    <w:rsid w:val="09D2450E"/>
    <w:rsid w:val="0AD765DD"/>
    <w:rsid w:val="0B39B3C2"/>
    <w:rsid w:val="0B76D379"/>
    <w:rsid w:val="0B77C9B7"/>
    <w:rsid w:val="0B7B8600"/>
    <w:rsid w:val="0B808996"/>
    <w:rsid w:val="0B83F4DB"/>
    <w:rsid w:val="0BCE11A3"/>
    <w:rsid w:val="0EEA1489"/>
    <w:rsid w:val="0F152B44"/>
    <w:rsid w:val="1065A949"/>
    <w:rsid w:val="10D48420"/>
    <w:rsid w:val="111B348C"/>
    <w:rsid w:val="14EE0F48"/>
    <w:rsid w:val="1603D351"/>
    <w:rsid w:val="16135D0D"/>
    <w:rsid w:val="164969B5"/>
    <w:rsid w:val="166C08AE"/>
    <w:rsid w:val="17653268"/>
    <w:rsid w:val="17A9F141"/>
    <w:rsid w:val="18A27BA7"/>
    <w:rsid w:val="18E371D9"/>
    <w:rsid w:val="19A8533E"/>
    <w:rsid w:val="1BE99E24"/>
    <w:rsid w:val="1C1CA77B"/>
    <w:rsid w:val="1C2F8ED0"/>
    <w:rsid w:val="1E384F6F"/>
    <w:rsid w:val="209E1FA4"/>
    <w:rsid w:val="20BD8460"/>
    <w:rsid w:val="20EAF011"/>
    <w:rsid w:val="2117694B"/>
    <w:rsid w:val="2236E82E"/>
    <w:rsid w:val="23A91FAC"/>
    <w:rsid w:val="248E00CB"/>
    <w:rsid w:val="252CC192"/>
    <w:rsid w:val="2550C724"/>
    <w:rsid w:val="260CD743"/>
    <w:rsid w:val="261A4C50"/>
    <w:rsid w:val="26DB061A"/>
    <w:rsid w:val="27A81E58"/>
    <w:rsid w:val="28176A50"/>
    <w:rsid w:val="29BACEFC"/>
    <w:rsid w:val="2A65E53C"/>
    <w:rsid w:val="2A7A4F43"/>
    <w:rsid w:val="2A9994D5"/>
    <w:rsid w:val="2BC5B726"/>
    <w:rsid w:val="2C55300D"/>
    <w:rsid w:val="2CCE742B"/>
    <w:rsid w:val="2D1B4498"/>
    <w:rsid w:val="2EE21285"/>
    <w:rsid w:val="2F18CBF3"/>
    <w:rsid w:val="317844A5"/>
    <w:rsid w:val="31F04F98"/>
    <w:rsid w:val="338440C6"/>
    <w:rsid w:val="3438D723"/>
    <w:rsid w:val="34F04ECC"/>
    <w:rsid w:val="34F74392"/>
    <w:rsid w:val="35556C43"/>
    <w:rsid w:val="3760D300"/>
    <w:rsid w:val="3883B2E8"/>
    <w:rsid w:val="39C2A588"/>
    <w:rsid w:val="3AA4C92F"/>
    <w:rsid w:val="3AF72296"/>
    <w:rsid w:val="3B9FD8E1"/>
    <w:rsid w:val="3BC53CC6"/>
    <w:rsid w:val="3BEF0399"/>
    <w:rsid w:val="3D08854C"/>
    <w:rsid w:val="3DDD45B5"/>
    <w:rsid w:val="3FE8BE13"/>
    <w:rsid w:val="401D4F5D"/>
    <w:rsid w:val="40312969"/>
    <w:rsid w:val="404821D0"/>
    <w:rsid w:val="405DC9C7"/>
    <w:rsid w:val="40DB2E10"/>
    <w:rsid w:val="421F310C"/>
    <w:rsid w:val="427F1C95"/>
    <w:rsid w:val="43412B15"/>
    <w:rsid w:val="4353370B"/>
    <w:rsid w:val="44AE6BC8"/>
    <w:rsid w:val="44ECAAB7"/>
    <w:rsid w:val="464A4698"/>
    <w:rsid w:val="476857B8"/>
    <w:rsid w:val="487C078C"/>
    <w:rsid w:val="487F58C5"/>
    <w:rsid w:val="4908A583"/>
    <w:rsid w:val="4939BB30"/>
    <w:rsid w:val="49B21CB2"/>
    <w:rsid w:val="49EF0416"/>
    <w:rsid w:val="4A2039B0"/>
    <w:rsid w:val="4A5351E8"/>
    <w:rsid w:val="4AD5A283"/>
    <w:rsid w:val="4BB74649"/>
    <w:rsid w:val="4C293004"/>
    <w:rsid w:val="4C9473B4"/>
    <w:rsid w:val="4D82FB40"/>
    <w:rsid w:val="4E0634A9"/>
    <w:rsid w:val="4E134B64"/>
    <w:rsid w:val="4E99AC3A"/>
    <w:rsid w:val="4EAE39A4"/>
    <w:rsid w:val="4F154D00"/>
    <w:rsid w:val="4FBDF4EF"/>
    <w:rsid w:val="5049DAC7"/>
    <w:rsid w:val="50709F92"/>
    <w:rsid w:val="51F2FC60"/>
    <w:rsid w:val="520EA67B"/>
    <w:rsid w:val="52581693"/>
    <w:rsid w:val="5258D359"/>
    <w:rsid w:val="529426C4"/>
    <w:rsid w:val="54FB0CC6"/>
    <w:rsid w:val="5509B169"/>
    <w:rsid w:val="550E2DBF"/>
    <w:rsid w:val="556ECCA2"/>
    <w:rsid w:val="560C5153"/>
    <w:rsid w:val="5815B564"/>
    <w:rsid w:val="58BA50CE"/>
    <w:rsid w:val="595D1A72"/>
    <w:rsid w:val="59966228"/>
    <w:rsid w:val="5A7B0E7D"/>
    <w:rsid w:val="5ADFC276"/>
    <w:rsid w:val="5B3CB2D2"/>
    <w:rsid w:val="5B8D5B27"/>
    <w:rsid w:val="5BA5430E"/>
    <w:rsid w:val="5BBF0A1A"/>
    <w:rsid w:val="5C7B92D7"/>
    <w:rsid w:val="5CBCA8E8"/>
    <w:rsid w:val="5D9535F3"/>
    <w:rsid w:val="5E27CA78"/>
    <w:rsid w:val="5E41E4A8"/>
    <w:rsid w:val="5F5A2348"/>
    <w:rsid w:val="611C197A"/>
    <w:rsid w:val="614F03FA"/>
    <w:rsid w:val="61AD3A93"/>
    <w:rsid w:val="62538E24"/>
    <w:rsid w:val="632F4784"/>
    <w:rsid w:val="63F47398"/>
    <w:rsid w:val="644F1B65"/>
    <w:rsid w:val="647F5412"/>
    <w:rsid w:val="654BF09B"/>
    <w:rsid w:val="65F4B6F4"/>
    <w:rsid w:val="66419DD3"/>
    <w:rsid w:val="671D0CC5"/>
    <w:rsid w:val="67E15571"/>
    <w:rsid w:val="686C9BD0"/>
    <w:rsid w:val="6964E03D"/>
    <w:rsid w:val="6A979C37"/>
    <w:rsid w:val="6ABA4556"/>
    <w:rsid w:val="6B612163"/>
    <w:rsid w:val="6CE501D1"/>
    <w:rsid w:val="6EA37742"/>
    <w:rsid w:val="6EAFD11A"/>
    <w:rsid w:val="6EEC664A"/>
    <w:rsid w:val="6F136C1A"/>
    <w:rsid w:val="6F9C0CC1"/>
    <w:rsid w:val="6FBF0C81"/>
    <w:rsid w:val="70EAFDB7"/>
    <w:rsid w:val="70F7CBE3"/>
    <w:rsid w:val="7340CEA5"/>
    <w:rsid w:val="736EC2B0"/>
    <w:rsid w:val="741B861B"/>
    <w:rsid w:val="74685452"/>
    <w:rsid w:val="74A6837D"/>
    <w:rsid w:val="74CB7BB0"/>
    <w:rsid w:val="76037462"/>
    <w:rsid w:val="778496F4"/>
    <w:rsid w:val="785BD54A"/>
    <w:rsid w:val="79867650"/>
    <w:rsid w:val="798736F7"/>
    <w:rsid w:val="79AFC287"/>
    <w:rsid w:val="79E98AA6"/>
    <w:rsid w:val="7A0F88BF"/>
    <w:rsid w:val="7A4D7280"/>
    <w:rsid w:val="7A9958CE"/>
    <w:rsid w:val="7ABC37B6"/>
    <w:rsid w:val="7B2AE4AC"/>
    <w:rsid w:val="7B6E97AF"/>
    <w:rsid w:val="7C4195A6"/>
    <w:rsid w:val="7C707255"/>
    <w:rsid w:val="7D3BB764"/>
    <w:rsid w:val="7D4062D4"/>
    <w:rsid w:val="7DC98D06"/>
    <w:rsid w:val="7F367AD3"/>
    <w:rsid w:val="7F8FA8D9"/>
    <w:rsid w:val="7FAD5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2F01"/>
  <w15:docId w15:val="{4AA15B03-290A-4FB7-8C29-3DCF7163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315681"/>
    <w:pPr>
      <w:keepNext/>
      <w:keepLines/>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C5DA0"/>
    <w:pPr>
      <w:keepNext/>
      <w:keepLines/>
      <w:spacing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C5DA0"/>
    <w:pPr>
      <w:keepNext/>
      <w:keepLines/>
      <w:spacing w:after="0" w:line="240" w:lineRule="auto"/>
      <w:outlineLvl w:val="2"/>
    </w:pPr>
    <w:rPr>
      <w:rFonts w:ascii="Calibri" w:eastAsiaTheme="majorEastAsia" w:hAnsi="Calibri" w:cstheme="majorBidi"/>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6D6A"/>
    <w:pPr>
      <w:spacing w:after="0" w:line="240" w:lineRule="auto"/>
    </w:pPr>
  </w:style>
  <w:style w:type="paragraph" w:styleId="BalloonText">
    <w:name w:val="Balloon Text"/>
    <w:basedOn w:val="Normal"/>
    <w:link w:val="BalloonTextChar"/>
    <w:uiPriority w:val="99"/>
    <w:semiHidden/>
    <w:unhideWhenUsed/>
    <w:rsid w:val="001A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0B"/>
    <w:rPr>
      <w:rFonts w:ascii="Tahoma" w:hAnsi="Tahoma" w:cs="Tahoma"/>
      <w:sz w:val="16"/>
      <w:szCs w:val="16"/>
    </w:rPr>
  </w:style>
  <w:style w:type="character" w:styleId="Emphasis">
    <w:name w:val="Emphasis"/>
    <w:basedOn w:val="DefaultParagraphFont"/>
    <w:uiPriority w:val="20"/>
    <w:qFormat/>
    <w:rsid w:val="008D1CA0"/>
    <w:rPr>
      <w:i/>
      <w:iCs/>
    </w:rPr>
  </w:style>
  <w:style w:type="character" w:customStyle="1" w:styleId="NoSpacingChar">
    <w:name w:val="No Spacing Char"/>
    <w:basedOn w:val="DefaultParagraphFont"/>
    <w:link w:val="NoSpacing"/>
    <w:uiPriority w:val="1"/>
    <w:rsid w:val="004A7D2F"/>
  </w:style>
  <w:style w:type="paragraph" w:styleId="Header">
    <w:name w:val="header"/>
    <w:basedOn w:val="Normal"/>
    <w:link w:val="HeaderChar"/>
    <w:uiPriority w:val="99"/>
    <w:unhideWhenUsed/>
    <w:rsid w:val="004A7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D2F"/>
  </w:style>
  <w:style w:type="paragraph" w:styleId="Footer">
    <w:name w:val="footer"/>
    <w:basedOn w:val="Normal"/>
    <w:link w:val="FooterChar"/>
    <w:uiPriority w:val="99"/>
    <w:unhideWhenUsed/>
    <w:rsid w:val="004A7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2F"/>
  </w:style>
  <w:style w:type="character" w:customStyle="1" w:styleId="Heading1Char">
    <w:name w:val="Heading 1 Char"/>
    <w:basedOn w:val="DefaultParagraphFont"/>
    <w:link w:val="Heading1"/>
    <w:uiPriority w:val="9"/>
    <w:rsid w:val="00315681"/>
    <w:rPr>
      <w:rFonts w:eastAsiaTheme="majorEastAsia" w:cstheme="majorBidi"/>
      <w:b/>
      <w:bCs/>
      <w:sz w:val="36"/>
      <w:szCs w:val="28"/>
    </w:rPr>
  </w:style>
  <w:style w:type="paragraph" w:styleId="TOCHeading">
    <w:name w:val="TOC Heading"/>
    <w:basedOn w:val="Heading1"/>
    <w:next w:val="Normal"/>
    <w:uiPriority w:val="39"/>
    <w:semiHidden/>
    <w:unhideWhenUsed/>
    <w:qFormat/>
    <w:rsid w:val="00CC5DA0"/>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CC5DA0"/>
    <w:pPr>
      <w:spacing w:after="100"/>
    </w:pPr>
  </w:style>
  <w:style w:type="character" w:styleId="Hyperlink">
    <w:name w:val="Hyperlink"/>
    <w:basedOn w:val="DefaultParagraphFont"/>
    <w:uiPriority w:val="99"/>
    <w:unhideWhenUsed/>
    <w:rsid w:val="00CC5DA0"/>
    <w:rPr>
      <w:color w:val="0000FF" w:themeColor="hyperlink"/>
      <w:u w:val="single"/>
    </w:rPr>
  </w:style>
  <w:style w:type="character" w:customStyle="1" w:styleId="Heading2Char">
    <w:name w:val="Heading 2 Char"/>
    <w:basedOn w:val="DefaultParagraphFont"/>
    <w:link w:val="Heading2"/>
    <w:uiPriority w:val="9"/>
    <w:rsid w:val="00CC5DA0"/>
    <w:rPr>
      <w:rFonts w:eastAsiaTheme="majorEastAsia" w:cstheme="majorBidi"/>
      <w:b/>
      <w:bCs/>
      <w:sz w:val="26"/>
      <w:szCs w:val="26"/>
    </w:rPr>
  </w:style>
  <w:style w:type="character" w:customStyle="1" w:styleId="Heading3Char">
    <w:name w:val="Heading 3 Char"/>
    <w:basedOn w:val="DefaultParagraphFont"/>
    <w:link w:val="Heading3"/>
    <w:uiPriority w:val="9"/>
    <w:rsid w:val="00CC5DA0"/>
    <w:rPr>
      <w:rFonts w:ascii="Calibri" w:eastAsiaTheme="majorEastAsia" w:hAnsi="Calibri" w:cstheme="majorBidi"/>
      <w:bCs/>
      <w:sz w:val="26"/>
      <w:u w:val="single"/>
    </w:rPr>
  </w:style>
  <w:style w:type="paragraph" w:styleId="TOC3">
    <w:name w:val="toc 3"/>
    <w:basedOn w:val="Normal"/>
    <w:next w:val="Normal"/>
    <w:autoRedefine/>
    <w:uiPriority w:val="39"/>
    <w:unhideWhenUsed/>
    <w:rsid w:val="00CC5DA0"/>
    <w:pPr>
      <w:spacing w:after="100"/>
      <w:ind w:left="440"/>
    </w:pPr>
  </w:style>
  <w:style w:type="paragraph" w:styleId="TOC2">
    <w:name w:val="toc 2"/>
    <w:basedOn w:val="Normal"/>
    <w:next w:val="Normal"/>
    <w:autoRedefine/>
    <w:uiPriority w:val="39"/>
    <w:unhideWhenUsed/>
    <w:rsid w:val="00CC5DA0"/>
    <w:pPr>
      <w:spacing w:after="100"/>
      <w:ind w:left="220"/>
    </w:pPr>
  </w:style>
  <w:style w:type="paragraph" w:styleId="Caption">
    <w:name w:val="caption"/>
    <w:basedOn w:val="Normal"/>
    <w:next w:val="Normal"/>
    <w:uiPriority w:val="35"/>
    <w:unhideWhenUsed/>
    <w:qFormat/>
    <w:rsid w:val="00992DC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469ED"/>
    <w:pPr>
      <w:spacing w:after="0"/>
    </w:pPr>
  </w:style>
  <w:style w:type="paragraph" w:styleId="ListParagraph">
    <w:name w:val="List Paragraph"/>
    <w:basedOn w:val="Normal"/>
    <w:uiPriority w:val="34"/>
    <w:qFormat/>
    <w:rsid w:val="00CF2F37"/>
    <w:pPr>
      <w:ind w:left="720"/>
      <w:contextualSpacing/>
    </w:pPr>
  </w:style>
  <w:style w:type="character" w:styleId="UnresolvedMention">
    <w:name w:val="Unresolved Mention"/>
    <w:basedOn w:val="DefaultParagraphFont"/>
    <w:uiPriority w:val="99"/>
    <w:semiHidden/>
    <w:unhideWhenUsed/>
    <w:rsid w:val="003A7650"/>
    <w:rPr>
      <w:color w:val="605E5C"/>
      <w:shd w:val="clear" w:color="auto" w:fill="E1DFDD"/>
    </w:rPr>
  </w:style>
  <w:style w:type="paragraph" w:styleId="FootnoteText">
    <w:name w:val="footnote text"/>
    <w:basedOn w:val="Normal"/>
    <w:link w:val="FootnoteTextChar"/>
    <w:uiPriority w:val="99"/>
    <w:semiHidden/>
    <w:unhideWhenUsed/>
    <w:rsid w:val="00E83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DBE"/>
    <w:rPr>
      <w:sz w:val="20"/>
      <w:szCs w:val="20"/>
    </w:rPr>
  </w:style>
  <w:style w:type="character" w:styleId="FootnoteReference">
    <w:name w:val="footnote reference"/>
    <w:basedOn w:val="DefaultParagraphFont"/>
    <w:uiPriority w:val="99"/>
    <w:semiHidden/>
    <w:unhideWhenUsed/>
    <w:rsid w:val="00E83DBE"/>
    <w:rPr>
      <w:vertAlign w:val="superscript"/>
    </w:rPr>
  </w:style>
  <w:style w:type="character" w:styleId="FollowedHyperlink">
    <w:name w:val="FollowedHyperlink"/>
    <w:basedOn w:val="DefaultParagraphFont"/>
    <w:uiPriority w:val="99"/>
    <w:semiHidden/>
    <w:unhideWhenUsed/>
    <w:rsid w:val="00EF5A2E"/>
    <w:rPr>
      <w:color w:val="800080" w:themeColor="followedHyperlink"/>
      <w:u w:val="single"/>
    </w:rPr>
  </w:style>
  <w:style w:type="character" w:styleId="CommentReference">
    <w:name w:val="annotation reference"/>
    <w:basedOn w:val="DefaultParagraphFont"/>
    <w:uiPriority w:val="99"/>
    <w:semiHidden/>
    <w:unhideWhenUsed/>
    <w:rsid w:val="00CC532C"/>
    <w:rPr>
      <w:sz w:val="16"/>
      <w:szCs w:val="16"/>
    </w:rPr>
  </w:style>
  <w:style w:type="paragraph" w:styleId="CommentText">
    <w:name w:val="annotation text"/>
    <w:basedOn w:val="Normal"/>
    <w:link w:val="CommentTextChar"/>
    <w:uiPriority w:val="99"/>
    <w:unhideWhenUsed/>
    <w:rsid w:val="00CC532C"/>
    <w:pPr>
      <w:spacing w:line="240" w:lineRule="auto"/>
    </w:pPr>
    <w:rPr>
      <w:sz w:val="20"/>
      <w:szCs w:val="20"/>
    </w:rPr>
  </w:style>
  <w:style w:type="character" w:customStyle="1" w:styleId="CommentTextChar">
    <w:name w:val="Comment Text Char"/>
    <w:basedOn w:val="DefaultParagraphFont"/>
    <w:link w:val="CommentText"/>
    <w:uiPriority w:val="99"/>
    <w:rsid w:val="00CC532C"/>
    <w:rPr>
      <w:sz w:val="20"/>
      <w:szCs w:val="20"/>
    </w:rPr>
  </w:style>
  <w:style w:type="paragraph" w:styleId="CommentSubject">
    <w:name w:val="annotation subject"/>
    <w:basedOn w:val="CommentText"/>
    <w:next w:val="CommentText"/>
    <w:link w:val="CommentSubjectChar"/>
    <w:uiPriority w:val="99"/>
    <w:semiHidden/>
    <w:unhideWhenUsed/>
    <w:rsid w:val="00CC532C"/>
    <w:rPr>
      <w:b/>
      <w:bCs/>
    </w:rPr>
  </w:style>
  <w:style w:type="character" w:customStyle="1" w:styleId="CommentSubjectChar">
    <w:name w:val="Comment Subject Char"/>
    <w:basedOn w:val="CommentTextChar"/>
    <w:link w:val="CommentSubject"/>
    <w:uiPriority w:val="99"/>
    <w:semiHidden/>
    <w:rsid w:val="00CC532C"/>
    <w:rPr>
      <w:b/>
      <w:bCs/>
      <w:sz w:val="20"/>
      <w:szCs w:val="20"/>
    </w:rPr>
  </w:style>
  <w:style w:type="paragraph" w:styleId="Revision">
    <w:name w:val="Revision"/>
    <w:hidden/>
    <w:uiPriority w:val="99"/>
    <w:semiHidden/>
    <w:rsid w:val="00B05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850">
      <w:bodyDiv w:val="1"/>
      <w:marLeft w:val="0"/>
      <w:marRight w:val="0"/>
      <w:marTop w:val="0"/>
      <w:marBottom w:val="0"/>
      <w:divBdr>
        <w:top w:val="none" w:sz="0" w:space="0" w:color="auto"/>
        <w:left w:val="none" w:sz="0" w:space="0" w:color="auto"/>
        <w:bottom w:val="none" w:sz="0" w:space="0" w:color="auto"/>
        <w:right w:val="none" w:sz="0" w:space="0" w:color="auto"/>
      </w:divBdr>
    </w:div>
    <w:div w:id="43869214">
      <w:bodyDiv w:val="1"/>
      <w:marLeft w:val="0"/>
      <w:marRight w:val="0"/>
      <w:marTop w:val="0"/>
      <w:marBottom w:val="0"/>
      <w:divBdr>
        <w:top w:val="none" w:sz="0" w:space="0" w:color="auto"/>
        <w:left w:val="none" w:sz="0" w:space="0" w:color="auto"/>
        <w:bottom w:val="none" w:sz="0" w:space="0" w:color="auto"/>
        <w:right w:val="none" w:sz="0" w:space="0" w:color="auto"/>
      </w:divBdr>
    </w:div>
    <w:div w:id="75635676">
      <w:bodyDiv w:val="1"/>
      <w:marLeft w:val="0"/>
      <w:marRight w:val="0"/>
      <w:marTop w:val="0"/>
      <w:marBottom w:val="0"/>
      <w:divBdr>
        <w:top w:val="none" w:sz="0" w:space="0" w:color="auto"/>
        <w:left w:val="none" w:sz="0" w:space="0" w:color="auto"/>
        <w:bottom w:val="none" w:sz="0" w:space="0" w:color="auto"/>
        <w:right w:val="none" w:sz="0" w:space="0" w:color="auto"/>
      </w:divBdr>
    </w:div>
    <w:div w:id="110368985">
      <w:bodyDiv w:val="1"/>
      <w:marLeft w:val="0"/>
      <w:marRight w:val="0"/>
      <w:marTop w:val="0"/>
      <w:marBottom w:val="0"/>
      <w:divBdr>
        <w:top w:val="none" w:sz="0" w:space="0" w:color="auto"/>
        <w:left w:val="none" w:sz="0" w:space="0" w:color="auto"/>
        <w:bottom w:val="none" w:sz="0" w:space="0" w:color="auto"/>
        <w:right w:val="none" w:sz="0" w:space="0" w:color="auto"/>
      </w:divBdr>
    </w:div>
    <w:div w:id="160704310">
      <w:bodyDiv w:val="1"/>
      <w:marLeft w:val="0"/>
      <w:marRight w:val="0"/>
      <w:marTop w:val="0"/>
      <w:marBottom w:val="0"/>
      <w:divBdr>
        <w:top w:val="none" w:sz="0" w:space="0" w:color="auto"/>
        <w:left w:val="none" w:sz="0" w:space="0" w:color="auto"/>
        <w:bottom w:val="none" w:sz="0" w:space="0" w:color="auto"/>
        <w:right w:val="none" w:sz="0" w:space="0" w:color="auto"/>
      </w:divBdr>
      <w:divsChild>
        <w:div w:id="1972007827">
          <w:marLeft w:val="0"/>
          <w:marRight w:val="0"/>
          <w:marTop w:val="0"/>
          <w:marBottom w:val="0"/>
          <w:divBdr>
            <w:top w:val="none" w:sz="0" w:space="0" w:color="auto"/>
            <w:left w:val="none" w:sz="0" w:space="0" w:color="auto"/>
            <w:bottom w:val="none" w:sz="0" w:space="0" w:color="auto"/>
            <w:right w:val="none" w:sz="0" w:space="0" w:color="auto"/>
          </w:divBdr>
        </w:div>
      </w:divsChild>
    </w:div>
    <w:div w:id="278924529">
      <w:bodyDiv w:val="1"/>
      <w:marLeft w:val="0"/>
      <w:marRight w:val="0"/>
      <w:marTop w:val="0"/>
      <w:marBottom w:val="0"/>
      <w:divBdr>
        <w:top w:val="none" w:sz="0" w:space="0" w:color="auto"/>
        <w:left w:val="none" w:sz="0" w:space="0" w:color="auto"/>
        <w:bottom w:val="none" w:sz="0" w:space="0" w:color="auto"/>
        <w:right w:val="none" w:sz="0" w:space="0" w:color="auto"/>
      </w:divBdr>
    </w:div>
    <w:div w:id="288710003">
      <w:bodyDiv w:val="1"/>
      <w:marLeft w:val="0"/>
      <w:marRight w:val="0"/>
      <w:marTop w:val="0"/>
      <w:marBottom w:val="0"/>
      <w:divBdr>
        <w:top w:val="none" w:sz="0" w:space="0" w:color="auto"/>
        <w:left w:val="none" w:sz="0" w:space="0" w:color="auto"/>
        <w:bottom w:val="none" w:sz="0" w:space="0" w:color="auto"/>
        <w:right w:val="none" w:sz="0" w:space="0" w:color="auto"/>
      </w:divBdr>
      <w:divsChild>
        <w:div w:id="1148980632">
          <w:marLeft w:val="0"/>
          <w:marRight w:val="0"/>
          <w:marTop w:val="0"/>
          <w:marBottom w:val="0"/>
          <w:divBdr>
            <w:top w:val="none" w:sz="0" w:space="0" w:color="auto"/>
            <w:left w:val="none" w:sz="0" w:space="0" w:color="auto"/>
            <w:bottom w:val="none" w:sz="0" w:space="0" w:color="auto"/>
            <w:right w:val="none" w:sz="0" w:space="0" w:color="auto"/>
          </w:divBdr>
        </w:div>
      </w:divsChild>
    </w:div>
    <w:div w:id="321392607">
      <w:bodyDiv w:val="1"/>
      <w:marLeft w:val="0"/>
      <w:marRight w:val="0"/>
      <w:marTop w:val="0"/>
      <w:marBottom w:val="0"/>
      <w:divBdr>
        <w:top w:val="none" w:sz="0" w:space="0" w:color="auto"/>
        <w:left w:val="none" w:sz="0" w:space="0" w:color="auto"/>
        <w:bottom w:val="none" w:sz="0" w:space="0" w:color="auto"/>
        <w:right w:val="none" w:sz="0" w:space="0" w:color="auto"/>
      </w:divBdr>
    </w:div>
    <w:div w:id="324211808">
      <w:bodyDiv w:val="1"/>
      <w:marLeft w:val="0"/>
      <w:marRight w:val="0"/>
      <w:marTop w:val="0"/>
      <w:marBottom w:val="0"/>
      <w:divBdr>
        <w:top w:val="none" w:sz="0" w:space="0" w:color="auto"/>
        <w:left w:val="none" w:sz="0" w:space="0" w:color="auto"/>
        <w:bottom w:val="none" w:sz="0" w:space="0" w:color="auto"/>
        <w:right w:val="none" w:sz="0" w:space="0" w:color="auto"/>
      </w:divBdr>
      <w:divsChild>
        <w:div w:id="743337909">
          <w:marLeft w:val="0"/>
          <w:marRight w:val="0"/>
          <w:marTop w:val="0"/>
          <w:marBottom w:val="0"/>
          <w:divBdr>
            <w:top w:val="none" w:sz="0" w:space="0" w:color="auto"/>
            <w:left w:val="none" w:sz="0" w:space="0" w:color="auto"/>
            <w:bottom w:val="none" w:sz="0" w:space="0" w:color="auto"/>
            <w:right w:val="none" w:sz="0" w:space="0" w:color="auto"/>
          </w:divBdr>
        </w:div>
      </w:divsChild>
    </w:div>
    <w:div w:id="390815565">
      <w:bodyDiv w:val="1"/>
      <w:marLeft w:val="0"/>
      <w:marRight w:val="0"/>
      <w:marTop w:val="0"/>
      <w:marBottom w:val="0"/>
      <w:divBdr>
        <w:top w:val="none" w:sz="0" w:space="0" w:color="auto"/>
        <w:left w:val="none" w:sz="0" w:space="0" w:color="auto"/>
        <w:bottom w:val="none" w:sz="0" w:space="0" w:color="auto"/>
        <w:right w:val="none" w:sz="0" w:space="0" w:color="auto"/>
      </w:divBdr>
      <w:divsChild>
        <w:div w:id="842935490">
          <w:marLeft w:val="0"/>
          <w:marRight w:val="0"/>
          <w:marTop w:val="0"/>
          <w:marBottom w:val="0"/>
          <w:divBdr>
            <w:top w:val="none" w:sz="0" w:space="0" w:color="auto"/>
            <w:left w:val="none" w:sz="0" w:space="0" w:color="auto"/>
            <w:bottom w:val="none" w:sz="0" w:space="0" w:color="auto"/>
            <w:right w:val="none" w:sz="0" w:space="0" w:color="auto"/>
          </w:divBdr>
        </w:div>
      </w:divsChild>
    </w:div>
    <w:div w:id="411590116">
      <w:bodyDiv w:val="1"/>
      <w:marLeft w:val="0"/>
      <w:marRight w:val="0"/>
      <w:marTop w:val="0"/>
      <w:marBottom w:val="0"/>
      <w:divBdr>
        <w:top w:val="none" w:sz="0" w:space="0" w:color="auto"/>
        <w:left w:val="none" w:sz="0" w:space="0" w:color="auto"/>
        <w:bottom w:val="none" w:sz="0" w:space="0" w:color="auto"/>
        <w:right w:val="none" w:sz="0" w:space="0" w:color="auto"/>
      </w:divBdr>
      <w:divsChild>
        <w:div w:id="510604969">
          <w:marLeft w:val="0"/>
          <w:marRight w:val="0"/>
          <w:marTop w:val="0"/>
          <w:marBottom w:val="0"/>
          <w:divBdr>
            <w:top w:val="none" w:sz="0" w:space="0" w:color="auto"/>
            <w:left w:val="none" w:sz="0" w:space="0" w:color="auto"/>
            <w:bottom w:val="none" w:sz="0" w:space="0" w:color="auto"/>
            <w:right w:val="none" w:sz="0" w:space="0" w:color="auto"/>
          </w:divBdr>
        </w:div>
      </w:divsChild>
    </w:div>
    <w:div w:id="421801285">
      <w:bodyDiv w:val="1"/>
      <w:marLeft w:val="0"/>
      <w:marRight w:val="0"/>
      <w:marTop w:val="0"/>
      <w:marBottom w:val="0"/>
      <w:divBdr>
        <w:top w:val="none" w:sz="0" w:space="0" w:color="auto"/>
        <w:left w:val="none" w:sz="0" w:space="0" w:color="auto"/>
        <w:bottom w:val="none" w:sz="0" w:space="0" w:color="auto"/>
        <w:right w:val="none" w:sz="0" w:space="0" w:color="auto"/>
      </w:divBdr>
    </w:div>
    <w:div w:id="466901979">
      <w:bodyDiv w:val="1"/>
      <w:marLeft w:val="0"/>
      <w:marRight w:val="0"/>
      <w:marTop w:val="0"/>
      <w:marBottom w:val="0"/>
      <w:divBdr>
        <w:top w:val="none" w:sz="0" w:space="0" w:color="auto"/>
        <w:left w:val="none" w:sz="0" w:space="0" w:color="auto"/>
        <w:bottom w:val="none" w:sz="0" w:space="0" w:color="auto"/>
        <w:right w:val="none" w:sz="0" w:space="0" w:color="auto"/>
      </w:divBdr>
      <w:divsChild>
        <w:div w:id="337314009">
          <w:marLeft w:val="0"/>
          <w:marRight w:val="0"/>
          <w:marTop w:val="0"/>
          <w:marBottom w:val="0"/>
          <w:divBdr>
            <w:top w:val="none" w:sz="0" w:space="0" w:color="auto"/>
            <w:left w:val="none" w:sz="0" w:space="0" w:color="auto"/>
            <w:bottom w:val="none" w:sz="0" w:space="0" w:color="auto"/>
            <w:right w:val="none" w:sz="0" w:space="0" w:color="auto"/>
          </w:divBdr>
        </w:div>
      </w:divsChild>
    </w:div>
    <w:div w:id="478230657">
      <w:bodyDiv w:val="1"/>
      <w:marLeft w:val="0"/>
      <w:marRight w:val="0"/>
      <w:marTop w:val="0"/>
      <w:marBottom w:val="0"/>
      <w:divBdr>
        <w:top w:val="none" w:sz="0" w:space="0" w:color="auto"/>
        <w:left w:val="none" w:sz="0" w:space="0" w:color="auto"/>
        <w:bottom w:val="none" w:sz="0" w:space="0" w:color="auto"/>
        <w:right w:val="none" w:sz="0" w:space="0" w:color="auto"/>
      </w:divBdr>
      <w:divsChild>
        <w:div w:id="503281243">
          <w:marLeft w:val="0"/>
          <w:marRight w:val="0"/>
          <w:marTop w:val="0"/>
          <w:marBottom w:val="0"/>
          <w:divBdr>
            <w:top w:val="none" w:sz="0" w:space="0" w:color="auto"/>
            <w:left w:val="none" w:sz="0" w:space="0" w:color="auto"/>
            <w:bottom w:val="none" w:sz="0" w:space="0" w:color="auto"/>
            <w:right w:val="none" w:sz="0" w:space="0" w:color="auto"/>
          </w:divBdr>
        </w:div>
      </w:divsChild>
    </w:div>
    <w:div w:id="509567150">
      <w:bodyDiv w:val="1"/>
      <w:marLeft w:val="0"/>
      <w:marRight w:val="0"/>
      <w:marTop w:val="0"/>
      <w:marBottom w:val="0"/>
      <w:divBdr>
        <w:top w:val="none" w:sz="0" w:space="0" w:color="auto"/>
        <w:left w:val="none" w:sz="0" w:space="0" w:color="auto"/>
        <w:bottom w:val="none" w:sz="0" w:space="0" w:color="auto"/>
        <w:right w:val="none" w:sz="0" w:space="0" w:color="auto"/>
      </w:divBdr>
    </w:div>
    <w:div w:id="516383548">
      <w:bodyDiv w:val="1"/>
      <w:marLeft w:val="0"/>
      <w:marRight w:val="0"/>
      <w:marTop w:val="0"/>
      <w:marBottom w:val="0"/>
      <w:divBdr>
        <w:top w:val="none" w:sz="0" w:space="0" w:color="auto"/>
        <w:left w:val="none" w:sz="0" w:space="0" w:color="auto"/>
        <w:bottom w:val="none" w:sz="0" w:space="0" w:color="auto"/>
        <w:right w:val="none" w:sz="0" w:space="0" w:color="auto"/>
      </w:divBdr>
    </w:div>
    <w:div w:id="5347358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630">
          <w:marLeft w:val="0"/>
          <w:marRight w:val="0"/>
          <w:marTop w:val="0"/>
          <w:marBottom w:val="0"/>
          <w:divBdr>
            <w:top w:val="none" w:sz="0" w:space="0" w:color="auto"/>
            <w:left w:val="none" w:sz="0" w:space="0" w:color="auto"/>
            <w:bottom w:val="none" w:sz="0" w:space="0" w:color="auto"/>
            <w:right w:val="none" w:sz="0" w:space="0" w:color="auto"/>
          </w:divBdr>
        </w:div>
      </w:divsChild>
    </w:div>
    <w:div w:id="608321034">
      <w:bodyDiv w:val="1"/>
      <w:marLeft w:val="0"/>
      <w:marRight w:val="0"/>
      <w:marTop w:val="0"/>
      <w:marBottom w:val="0"/>
      <w:divBdr>
        <w:top w:val="none" w:sz="0" w:space="0" w:color="auto"/>
        <w:left w:val="none" w:sz="0" w:space="0" w:color="auto"/>
        <w:bottom w:val="none" w:sz="0" w:space="0" w:color="auto"/>
        <w:right w:val="none" w:sz="0" w:space="0" w:color="auto"/>
      </w:divBdr>
    </w:div>
    <w:div w:id="747311850">
      <w:bodyDiv w:val="1"/>
      <w:marLeft w:val="0"/>
      <w:marRight w:val="0"/>
      <w:marTop w:val="0"/>
      <w:marBottom w:val="0"/>
      <w:divBdr>
        <w:top w:val="none" w:sz="0" w:space="0" w:color="auto"/>
        <w:left w:val="none" w:sz="0" w:space="0" w:color="auto"/>
        <w:bottom w:val="none" w:sz="0" w:space="0" w:color="auto"/>
        <w:right w:val="none" w:sz="0" w:space="0" w:color="auto"/>
      </w:divBdr>
    </w:div>
    <w:div w:id="779419789">
      <w:bodyDiv w:val="1"/>
      <w:marLeft w:val="0"/>
      <w:marRight w:val="0"/>
      <w:marTop w:val="0"/>
      <w:marBottom w:val="0"/>
      <w:divBdr>
        <w:top w:val="none" w:sz="0" w:space="0" w:color="auto"/>
        <w:left w:val="none" w:sz="0" w:space="0" w:color="auto"/>
        <w:bottom w:val="none" w:sz="0" w:space="0" w:color="auto"/>
        <w:right w:val="none" w:sz="0" w:space="0" w:color="auto"/>
      </w:divBdr>
    </w:div>
    <w:div w:id="824013335">
      <w:bodyDiv w:val="1"/>
      <w:marLeft w:val="0"/>
      <w:marRight w:val="0"/>
      <w:marTop w:val="0"/>
      <w:marBottom w:val="0"/>
      <w:divBdr>
        <w:top w:val="none" w:sz="0" w:space="0" w:color="auto"/>
        <w:left w:val="none" w:sz="0" w:space="0" w:color="auto"/>
        <w:bottom w:val="none" w:sz="0" w:space="0" w:color="auto"/>
        <w:right w:val="none" w:sz="0" w:space="0" w:color="auto"/>
      </w:divBdr>
      <w:divsChild>
        <w:div w:id="1904442118">
          <w:marLeft w:val="0"/>
          <w:marRight w:val="0"/>
          <w:marTop w:val="0"/>
          <w:marBottom w:val="0"/>
          <w:divBdr>
            <w:top w:val="none" w:sz="0" w:space="0" w:color="auto"/>
            <w:left w:val="none" w:sz="0" w:space="0" w:color="auto"/>
            <w:bottom w:val="none" w:sz="0" w:space="0" w:color="auto"/>
            <w:right w:val="none" w:sz="0" w:space="0" w:color="auto"/>
          </w:divBdr>
        </w:div>
      </w:divsChild>
    </w:div>
    <w:div w:id="955719001">
      <w:bodyDiv w:val="1"/>
      <w:marLeft w:val="0"/>
      <w:marRight w:val="0"/>
      <w:marTop w:val="0"/>
      <w:marBottom w:val="0"/>
      <w:divBdr>
        <w:top w:val="none" w:sz="0" w:space="0" w:color="auto"/>
        <w:left w:val="none" w:sz="0" w:space="0" w:color="auto"/>
        <w:bottom w:val="none" w:sz="0" w:space="0" w:color="auto"/>
        <w:right w:val="none" w:sz="0" w:space="0" w:color="auto"/>
      </w:divBdr>
    </w:div>
    <w:div w:id="1028332617">
      <w:bodyDiv w:val="1"/>
      <w:marLeft w:val="0"/>
      <w:marRight w:val="0"/>
      <w:marTop w:val="0"/>
      <w:marBottom w:val="0"/>
      <w:divBdr>
        <w:top w:val="none" w:sz="0" w:space="0" w:color="auto"/>
        <w:left w:val="none" w:sz="0" w:space="0" w:color="auto"/>
        <w:bottom w:val="none" w:sz="0" w:space="0" w:color="auto"/>
        <w:right w:val="none" w:sz="0" w:space="0" w:color="auto"/>
      </w:divBdr>
      <w:divsChild>
        <w:div w:id="1195919457">
          <w:marLeft w:val="0"/>
          <w:marRight w:val="0"/>
          <w:marTop w:val="0"/>
          <w:marBottom w:val="0"/>
          <w:divBdr>
            <w:top w:val="none" w:sz="0" w:space="0" w:color="auto"/>
            <w:left w:val="none" w:sz="0" w:space="0" w:color="auto"/>
            <w:bottom w:val="none" w:sz="0" w:space="0" w:color="auto"/>
            <w:right w:val="none" w:sz="0" w:space="0" w:color="auto"/>
          </w:divBdr>
        </w:div>
      </w:divsChild>
    </w:div>
    <w:div w:id="1064255524">
      <w:bodyDiv w:val="1"/>
      <w:marLeft w:val="0"/>
      <w:marRight w:val="0"/>
      <w:marTop w:val="0"/>
      <w:marBottom w:val="0"/>
      <w:divBdr>
        <w:top w:val="none" w:sz="0" w:space="0" w:color="auto"/>
        <w:left w:val="none" w:sz="0" w:space="0" w:color="auto"/>
        <w:bottom w:val="none" w:sz="0" w:space="0" w:color="auto"/>
        <w:right w:val="none" w:sz="0" w:space="0" w:color="auto"/>
      </w:divBdr>
    </w:div>
    <w:div w:id="1074278757">
      <w:bodyDiv w:val="1"/>
      <w:marLeft w:val="0"/>
      <w:marRight w:val="0"/>
      <w:marTop w:val="0"/>
      <w:marBottom w:val="0"/>
      <w:divBdr>
        <w:top w:val="none" w:sz="0" w:space="0" w:color="auto"/>
        <w:left w:val="none" w:sz="0" w:space="0" w:color="auto"/>
        <w:bottom w:val="none" w:sz="0" w:space="0" w:color="auto"/>
        <w:right w:val="none" w:sz="0" w:space="0" w:color="auto"/>
      </w:divBdr>
      <w:divsChild>
        <w:div w:id="2037808762">
          <w:marLeft w:val="0"/>
          <w:marRight w:val="0"/>
          <w:marTop w:val="0"/>
          <w:marBottom w:val="0"/>
          <w:divBdr>
            <w:top w:val="none" w:sz="0" w:space="0" w:color="auto"/>
            <w:left w:val="none" w:sz="0" w:space="0" w:color="auto"/>
            <w:bottom w:val="none" w:sz="0" w:space="0" w:color="auto"/>
            <w:right w:val="none" w:sz="0" w:space="0" w:color="auto"/>
          </w:divBdr>
        </w:div>
      </w:divsChild>
    </w:div>
    <w:div w:id="1129515715">
      <w:bodyDiv w:val="1"/>
      <w:marLeft w:val="0"/>
      <w:marRight w:val="0"/>
      <w:marTop w:val="0"/>
      <w:marBottom w:val="0"/>
      <w:divBdr>
        <w:top w:val="none" w:sz="0" w:space="0" w:color="auto"/>
        <w:left w:val="none" w:sz="0" w:space="0" w:color="auto"/>
        <w:bottom w:val="none" w:sz="0" w:space="0" w:color="auto"/>
        <w:right w:val="none" w:sz="0" w:space="0" w:color="auto"/>
      </w:divBdr>
    </w:div>
    <w:div w:id="1219394009">
      <w:bodyDiv w:val="1"/>
      <w:marLeft w:val="0"/>
      <w:marRight w:val="0"/>
      <w:marTop w:val="0"/>
      <w:marBottom w:val="0"/>
      <w:divBdr>
        <w:top w:val="none" w:sz="0" w:space="0" w:color="auto"/>
        <w:left w:val="none" w:sz="0" w:space="0" w:color="auto"/>
        <w:bottom w:val="none" w:sz="0" w:space="0" w:color="auto"/>
        <w:right w:val="none" w:sz="0" w:space="0" w:color="auto"/>
      </w:divBdr>
    </w:div>
    <w:div w:id="1278759627">
      <w:bodyDiv w:val="1"/>
      <w:marLeft w:val="0"/>
      <w:marRight w:val="0"/>
      <w:marTop w:val="0"/>
      <w:marBottom w:val="0"/>
      <w:divBdr>
        <w:top w:val="none" w:sz="0" w:space="0" w:color="auto"/>
        <w:left w:val="none" w:sz="0" w:space="0" w:color="auto"/>
        <w:bottom w:val="none" w:sz="0" w:space="0" w:color="auto"/>
        <w:right w:val="none" w:sz="0" w:space="0" w:color="auto"/>
      </w:divBdr>
    </w:div>
    <w:div w:id="1343581193">
      <w:bodyDiv w:val="1"/>
      <w:marLeft w:val="0"/>
      <w:marRight w:val="0"/>
      <w:marTop w:val="0"/>
      <w:marBottom w:val="0"/>
      <w:divBdr>
        <w:top w:val="none" w:sz="0" w:space="0" w:color="auto"/>
        <w:left w:val="none" w:sz="0" w:space="0" w:color="auto"/>
        <w:bottom w:val="none" w:sz="0" w:space="0" w:color="auto"/>
        <w:right w:val="none" w:sz="0" w:space="0" w:color="auto"/>
      </w:divBdr>
    </w:div>
    <w:div w:id="1362586431">
      <w:bodyDiv w:val="1"/>
      <w:marLeft w:val="0"/>
      <w:marRight w:val="0"/>
      <w:marTop w:val="0"/>
      <w:marBottom w:val="0"/>
      <w:divBdr>
        <w:top w:val="none" w:sz="0" w:space="0" w:color="auto"/>
        <w:left w:val="none" w:sz="0" w:space="0" w:color="auto"/>
        <w:bottom w:val="none" w:sz="0" w:space="0" w:color="auto"/>
        <w:right w:val="none" w:sz="0" w:space="0" w:color="auto"/>
      </w:divBdr>
    </w:div>
    <w:div w:id="1398675047">
      <w:bodyDiv w:val="1"/>
      <w:marLeft w:val="0"/>
      <w:marRight w:val="0"/>
      <w:marTop w:val="0"/>
      <w:marBottom w:val="0"/>
      <w:divBdr>
        <w:top w:val="none" w:sz="0" w:space="0" w:color="auto"/>
        <w:left w:val="none" w:sz="0" w:space="0" w:color="auto"/>
        <w:bottom w:val="none" w:sz="0" w:space="0" w:color="auto"/>
        <w:right w:val="none" w:sz="0" w:space="0" w:color="auto"/>
      </w:divBdr>
    </w:div>
    <w:div w:id="1406104376">
      <w:bodyDiv w:val="1"/>
      <w:marLeft w:val="0"/>
      <w:marRight w:val="0"/>
      <w:marTop w:val="0"/>
      <w:marBottom w:val="0"/>
      <w:divBdr>
        <w:top w:val="none" w:sz="0" w:space="0" w:color="auto"/>
        <w:left w:val="none" w:sz="0" w:space="0" w:color="auto"/>
        <w:bottom w:val="none" w:sz="0" w:space="0" w:color="auto"/>
        <w:right w:val="none" w:sz="0" w:space="0" w:color="auto"/>
      </w:divBdr>
      <w:divsChild>
        <w:div w:id="1203710347">
          <w:marLeft w:val="0"/>
          <w:marRight w:val="0"/>
          <w:marTop w:val="0"/>
          <w:marBottom w:val="0"/>
          <w:divBdr>
            <w:top w:val="none" w:sz="0" w:space="0" w:color="auto"/>
            <w:left w:val="none" w:sz="0" w:space="0" w:color="auto"/>
            <w:bottom w:val="none" w:sz="0" w:space="0" w:color="auto"/>
            <w:right w:val="none" w:sz="0" w:space="0" w:color="auto"/>
          </w:divBdr>
        </w:div>
      </w:divsChild>
    </w:div>
    <w:div w:id="1406997095">
      <w:bodyDiv w:val="1"/>
      <w:marLeft w:val="0"/>
      <w:marRight w:val="0"/>
      <w:marTop w:val="0"/>
      <w:marBottom w:val="0"/>
      <w:divBdr>
        <w:top w:val="none" w:sz="0" w:space="0" w:color="auto"/>
        <w:left w:val="none" w:sz="0" w:space="0" w:color="auto"/>
        <w:bottom w:val="none" w:sz="0" w:space="0" w:color="auto"/>
        <w:right w:val="none" w:sz="0" w:space="0" w:color="auto"/>
      </w:divBdr>
    </w:div>
    <w:div w:id="1427388191">
      <w:bodyDiv w:val="1"/>
      <w:marLeft w:val="0"/>
      <w:marRight w:val="0"/>
      <w:marTop w:val="0"/>
      <w:marBottom w:val="0"/>
      <w:divBdr>
        <w:top w:val="none" w:sz="0" w:space="0" w:color="auto"/>
        <w:left w:val="none" w:sz="0" w:space="0" w:color="auto"/>
        <w:bottom w:val="none" w:sz="0" w:space="0" w:color="auto"/>
        <w:right w:val="none" w:sz="0" w:space="0" w:color="auto"/>
      </w:divBdr>
    </w:div>
    <w:div w:id="1491484273">
      <w:bodyDiv w:val="1"/>
      <w:marLeft w:val="0"/>
      <w:marRight w:val="0"/>
      <w:marTop w:val="0"/>
      <w:marBottom w:val="0"/>
      <w:divBdr>
        <w:top w:val="none" w:sz="0" w:space="0" w:color="auto"/>
        <w:left w:val="none" w:sz="0" w:space="0" w:color="auto"/>
        <w:bottom w:val="none" w:sz="0" w:space="0" w:color="auto"/>
        <w:right w:val="none" w:sz="0" w:space="0" w:color="auto"/>
      </w:divBdr>
      <w:divsChild>
        <w:div w:id="94181553">
          <w:marLeft w:val="0"/>
          <w:marRight w:val="0"/>
          <w:marTop w:val="0"/>
          <w:marBottom w:val="0"/>
          <w:divBdr>
            <w:top w:val="none" w:sz="0" w:space="0" w:color="auto"/>
            <w:left w:val="none" w:sz="0" w:space="0" w:color="auto"/>
            <w:bottom w:val="none" w:sz="0" w:space="0" w:color="auto"/>
            <w:right w:val="none" w:sz="0" w:space="0" w:color="auto"/>
          </w:divBdr>
        </w:div>
      </w:divsChild>
    </w:div>
    <w:div w:id="1534925498">
      <w:bodyDiv w:val="1"/>
      <w:marLeft w:val="0"/>
      <w:marRight w:val="0"/>
      <w:marTop w:val="0"/>
      <w:marBottom w:val="0"/>
      <w:divBdr>
        <w:top w:val="none" w:sz="0" w:space="0" w:color="auto"/>
        <w:left w:val="none" w:sz="0" w:space="0" w:color="auto"/>
        <w:bottom w:val="none" w:sz="0" w:space="0" w:color="auto"/>
        <w:right w:val="none" w:sz="0" w:space="0" w:color="auto"/>
      </w:divBdr>
    </w:div>
    <w:div w:id="1535195107">
      <w:bodyDiv w:val="1"/>
      <w:marLeft w:val="0"/>
      <w:marRight w:val="0"/>
      <w:marTop w:val="0"/>
      <w:marBottom w:val="0"/>
      <w:divBdr>
        <w:top w:val="none" w:sz="0" w:space="0" w:color="auto"/>
        <w:left w:val="none" w:sz="0" w:space="0" w:color="auto"/>
        <w:bottom w:val="none" w:sz="0" w:space="0" w:color="auto"/>
        <w:right w:val="none" w:sz="0" w:space="0" w:color="auto"/>
      </w:divBdr>
    </w:div>
    <w:div w:id="1548880886">
      <w:bodyDiv w:val="1"/>
      <w:marLeft w:val="0"/>
      <w:marRight w:val="0"/>
      <w:marTop w:val="0"/>
      <w:marBottom w:val="0"/>
      <w:divBdr>
        <w:top w:val="none" w:sz="0" w:space="0" w:color="auto"/>
        <w:left w:val="none" w:sz="0" w:space="0" w:color="auto"/>
        <w:bottom w:val="none" w:sz="0" w:space="0" w:color="auto"/>
        <w:right w:val="none" w:sz="0" w:space="0" w:color="auto"/>
      </w:divBdr>
      <w:divsChild>
        <w:div w:id="1651907301">
          <w:marLeft w:val="0"/>
          <w:marRight w:val="0"/>
          <w:marTop w:val="0"/>
          <w:marBottom w:val="0"/>
          <w:divBdr>
            <w:top w:val="none" w:sz="0" w:space="0" w:color="auto"/>
            <w:left w:val="none" w:sz="0" w:space="0" w:color="auto"/>
            <w:bottom w:val="none" w:sz="0" w:space="0" w:color="auto"/>
            <w:right w:val="none" w:sz="0" w:space="0" w:color="auto"/>
          </w:divBdr>
        </w:div>
      </w:divsChild>
    </w:div>
    <w:div w:id="1700160756">
      <w:bodyDiv w:val="1"/>
      <w:marLeft w:val="0"/>
      <w:marRight w:val="0"/>
      <w:marTop w:val="0"/>
      <w:marBottom w:val="0"/>
      <w:divBdr>
        <w:top w:val="none" w:sz="0" w:space="0" w:color="auto"/>
        <w:left w:val="none" w:sz="0" w:space="0" w:color="auto"/>
        <w:bottom w:val="none" w:sz="0" w:space="0" w:color="auto"/>
        <w:right w:val="none" w:sz="0" w:space="0" w:color="auto"/>
      </w:divBdr>
      <w:divsChild>
        <w:div w:id="2115861946">
          <w:marLeft w:val="0"/>
          <w:marRight w:val="0"/>
          <w:marTop w:val="0"/>
          <w:marBottom w:val="0"/>
          <w:divBdr>
            <w:top w:val="none" w:sz="0" w:space="0" w:color="auto"/>
            <w:left w:val="none" w:sz="0" w:space="0" w:color="auto"/>
            <w:bottom w:val="none" w:sz="0" w:space="0" w:color="auto"/>
            <w:right w:val="none" w:sz="0" w:space="0" w:color="auto"/>
          </w:divBdr>
        </w:div>
      </w:divsChild>
    </w:div>
    <w:div w:id="1781493271">
      <w:bodyDiv w:val="1"/>
      <w:marLeft w:val="0"/>
      <w:marRight w:val="0"/>
      <w:marTop w:val="0"/>
      <w:marBottom w:val="0"/>
      <w:divBdr>
        <w:top w:val="none" w:sz="0" w:space="0" w:color="auto"/>
        <w:left w:val="none" w:sz="0" w:space="0" w:color="auto"/>
        <w:bottom w:val="none" w:sz="0" w:space="0" w:color="auto"/>
        <w:right w:val="none" w:sz="0" w:space="0" w:color="auto"/>
      </w:divBdr>
      <w:divsChild>
        <w:div w:id="1829201259">
          <w:marLeft w:val="0"/>
          <w:marRight w:val="0"/>
          <w:marTop w:val="0"/>
          <w:marBottom w:val="0"/>
          <w:divBdr>
            <w:top w:val="none" w:sz="0" w:space="0" w:color="auto"/>
            <w:left w:val="none" w:sz="0" w:space="0" w:color="auto"/>
            <w:bottom w:val="none" w:sz="0" w:space="0" w:color="auto"/>
            <w:right w:val="none" w:sz="0" w:space="0" w:color="auto"/>
          </w:divBdr>
        </w:div>
      </w:divsChild>
    </w:div>
    <w:div w:id="1854151608">
      <w:bodyDiv w:val="1"/>
      <w:marLeft w:val="0"/>
      <w:marRight w:val="0"/>
      <w:marTop w:val="0"/>
      <w:marBottom w:val="0"/>
      <w:divBdr>
        <w:top w:val="none" w:sz="0" w:space="0" w:color="auto"/>
        <w:left w:val="none" w:sz="0" w:space="0" w:color="auto"/>
        <w:bottom w:val="none" w:sz="0" w:space="0" w:color="auto"/>
        <w:right w:val="none" w:sz="0" w:space="0" w:color="auto"/>
      </w:divBdr>
      <w:divsChild>
        <w:div w:id="95440611">
          <w:marLeft w:val="0"/>
          <w:marRight w:val="0"/>
          <w:marTop w:val="0"/>
          <w:marBottom w:val="0"/>
          <w:divBdr>
            <w:top w:val="none" w:sz="0" w:space="0" w:color="auto"/>
            <w:left w:val="none" w:sz="0" w:space="0" w:color="auto"/>
            <w:bottom w:val="none" w:sz="0" w:space="0" w:color="auto"/>
            <w:right w:val="none" w:sz="0" w:space="0" w:color="auto"/>
          </w:divBdr>
          <w:divsChild>
            <w:div w:id="393771293">
              <w:marLeft w:val="0"/>
              <w:marRight w:val="0"/>
              <w:marTop w:val="0"/>
              <w:marBottom w:val="0"/>
              <w:divBdr>
                <w:top w:val="none" w:sz="0" w:space="0" w:color="auto"/>
                <w:left w:val="none" w:sz="0" w:space="0" w:color="auto"/>
                <w:bottom w:val="none" w:sz="0" w:space="0" w:color="auto"/>
                <w:right w:val="none" w:sz="0" w:space="0" w:color="auto"/>
              </w:divBdr>
              <w:divsChild>
                <w:div w:id="1479420534">
                  <w:marLeft w:val="0"/>
                  <w:marRight w:val="0"/>
                  <w:marTop w:val="0"/>
                  <w:marBottom w:val="0"/>
                  <w:divBdr>
                    <w:top w:val="none" w:sz="0" w:space="0" w:color="auto"/>
                    <w:left w:val="none" w:sz="0" w:space="0" w:color="auto"/>
                    <w:bottom w:val="none" w:sz="0" w:space="0" w:color="auto"/>
                    <w:right w:val="none" w:sz="0" w:space="0" w:color="auto"/>
                  </w:divBdr>
                  <w:divsChild>
                    <w:div w:id="439615664">
                      <w:marLeft w:val="0"/>
                      <w:marRight w:val="0"/>
                      <w:marTop w:val="75"/>
                      <w:marBottom w:val="2"/>
                      <w:divBdr>
                        <w:top w:val="none" w:sz="0" w:space="0" w:color="auto"/>
                        <w:left w:val="none" w:sz="0" w:space="0" w:color="auto"/>
                        <w:bottom w:val="none" w:sz="0" w:space="0" w:color="auto"/>
                        <w:right w:val="none" w:sz="0" w:space="0" w:color="auto"/>
                      </w:divBdr>
                      <w:divsChild>
                        <w:div w:id="122701753">
                          <w:marLeft w:val="0"/>
                          <w:marRight w:val="0"/>
                          <w:marTop w:val="0"/>
                          <w:marBottom w:val="0"/>
                          <w:divBdr>
                            <w:top w:val="none" w:sz="0" w:space="0" w:color="auto"/>
                            <w:left w:val="none" w:sz="0" w:space="0" w:color="auto"/>
                            <w:bottom w:val="none" w:sz="0" w:space="0" w:color="auto"/>
                            <w:right w:val="none" w:sz="0" w:space="0" w:color="auto"/>
                          </w:divBdr>
                          <w:divsChild>
                            <w:div w:id="1275939795">
                              <w:marLeft w:val="0"/>
                              <w:marRight w:val="0"/>
                              <w:marTop w:val="0"/>
                              <w:marBottom w:val="0"/>
                              <w:divBdr>
                                <w:top w:val="none" w:sz="0" w:space="0" w:color="auto"/>
                                <w:left w:val="none" w:sz="0" w:space="0" w:color="auto"/>
                                <w:bottom w:val="none" w:sz="0" w:space="0" w:color="auto"/>
                                <w:right w:val="none" w:sz="0" w:space="0" w:color="auto"/>
                              </w:divBdr>
                              <w:divsChild>
                                <w:div w:id="1280532996">
                                  <w:marLeft w:val="0"/>
                                  <w:marRight w:val="0"/>
                                  <w:marTop w:val="0"/>
                                  <w:marBottom w:val="0"/>
                                  <w:divBdr>
                                    <w:top w:val="none" w:sz="0" w:space="0" w:color="auto"/>
                                    <w:left w:val="none" w:sz="0" w:space="0" w:color="auto"/>
                                    <w:bottom w:val="none" w:sz="0" w:space="0" w:color="auto"/>
                                    <w:right w:val="none" w:sz="0" w:space="0" w:color="auto"/>
                                  </w:divBdr>
                                  <w:divsChild>
                                    <w:div w:id="343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832170">
      <w:bodyDiv w:val="1"/>
      <w:marLeft w:val="0"/>
      <w:marRight w:val="0"/>
      <w:marTop w:val="0"/>
      <w:marBottom w:val="0"/>
      <w:divBdr>
        <w:top w:val="none" w:sz="0" w:space="0" w:color="auto"/>
        <w:left w:val="none" w:sz="0" w:space="0" w:color="auto"/>
        <w:bottom w:val="none" w:sz="0" w:space="0" w:color="auto"/>
        <w:right w:val="none" w:sz="0" w:space="0" w:color="auto"/>
      </w:divBdr>
    </w:div>
    <w:div w:id="1885285919">
      <w:bodyDiv w:val="1"/>
      <w:marLeft w:val="0"/>
      <w:marRight w:val="0"/>
      <w:marTop w:val="0"/>
      <w:marBottom w:val="0"/>
      <w:divBdr>
        <w:top w:val="none" w:sz="0" w:space="0" w:color="auto"/>
        <w:left w:val="none" w:sz="0" w:space="0" w:color="auto"/>
        <w:bottom w:val="none" w:sz="0" w:space="0" w:color="auto"/>
        <w:right w:val="none" w:sz="0" w:space="0" w:color="auto"/>
      </w:divBdr>
    </w:div>
    <w:div w:id="1891769010">
      <w:bodyDiv w:val="1"/>
      <w:marLeft w:val="0"/>
      <w:marRight w:val="0"/>
      <w:marTop w:val="0"/>
      <w:marBottom w:val="0"/>
      <w:divBdr>
        <w:top w:val="none" w:sz="0" w:space="0" w:color="auto"/>
        <w:left w:val="none" w:sz="0" w:space="0" w:color="auto"/>
        <w:bottom w:val="none" w:sz="0" w:space="0" w:color="auto"/>
        <w:right w:val="none" w:sz="0" w:space="0" w:color="auto"/>
      </w:divBdr>
    </w:div>
    <w:div w:id="1943953872">
      <w:bodyDiv w:val="1"/>
      <w:marLeft w:val="0"/>
      <w:marRight w:val="0"/>
      <w:marTop w:val="0"/>
      <w:marBottom w:val="0"/>
      <w:divBdr>
        <w:top w:val="none" w:sz="0" w:space="0" w:color="auto"/>
        <w:left w:val="none" w:sz="0" w:space="0" w:color="auto"/>
        <w:bottom w:val="none" w:sz="0" w:space="0" w:color="auto"/>
        <w:right w:val="none" w:sz="0" w:space="0" w:color="auto"/>
      </w:divBdr>
    </w:div>
    <w:div w:id="1972056902">
      <w:bodyDiv w:val="1"/>
      <w:marLeft w:val="0"/>
      <w:marRight w:val="0"/>
      <w:marTop w:val="0"/>
      <w:marBottom w:val="0"/>
      <w:divBdr>
        <w:top w:val="none" w:sz="0" w:space="0" w:color="auto"/>
        <w:left w:val="none" w:sz="0" w:space="0" w:color="auto"/>
        <w:bottom w:val="none" w:sz="0" w:space="0" w:color="auto"/>
        <w:right w:val="none" w:sz="0" w:space="0" w:color="auto"/>
      </w:divBdr>
    </w:div>
    <w:div w:id="1986814105">
      <w:bodyDiv w:val="1"/>
      <w:marLeft w:val="0"/>
      <w:marRight w:val="0"/>
      <w:marTop w:val="0"/>
      <w:marBottom w:val="0"/>
      <w:divBdr>
        <w:top w:val="none" w:sz="0" w:space="0" w:color="auto"/>
        <w:left w:val="none" w:sz="0" w:space="0" w:color="auto"/>
        <w:bottom w:val="none" w:sz="0" w:space="0" w:color="auto"/>
        <w:right w:val="none" w:sz="0" w:space="0" w:color="auto"/>
      </w:divBdr>
    </w:div>
    <w:div w:id="2012364667">
      <w:bodyDiv w:val="1"/>
      <w:marLeft w:val="0"/>
      <w:marRight w:val="0"/>
      <w:marTop w:val="0"/>
      <w:marBottom w:val="0"/>
      <w:divBdr>
        <w:top w:val="none" w:sz="0" w:space="0" w:color="auto"/>
        <w:left w:val="none" w:sz="0" w:space="0" w:color="auto"/>
        <w:bottom w:val="none" w:sz="0" w:space="0" w:color="auto"/>
        <w:right w:val="none" w:sz="0" w:space="0" w:color="auto"/>
      </w:divBdr>
    </w:div>
    <w:div w:id="2081511746">
      <w:bodyDiv w:val="1"/>
      <w:marLeft w:val="0"/>
      <w:marRight w:val="0"/>
      <w:marTop w:val="0"/>
      <w:marBottom w:val="0"/>
      <w:divBdr>
        <w:top w:val="none" w:sz="0" w:space="0" w:color="auto"/>
        <w:left w:val="none" w:sz="0" w:space="0" w:color="auto"/>
        <w:bottom w:val="none" w:sz="0" w:space="0" w:color="auto"/>
        <w:right w:val="none" w:sz="0" w:space="0" w:color="auto"/>
      </w:divBdr>
      <w:divsChild>
        <w:div w:id="430442610">
          <w:marLeft w:val="0"/>
          <w:marRight w:val="0"/>
          <w:marTop w:val="0"/>
          <w:marBottom w:val="0"/>
          <w:divBdr>
            <w:top w:val="none" w:sz="0" w:space="0" w:color="auto"/>
            <w:left w:val="none" w:sz="0" w:space="0" w:color="auto"/>
            <w:bottom w:val="none" w:sz="0" w:space="0" w:color="auto"/>
            <w:right w:val="none" w:sz="0" w:space="0" w:color="auto"/>
          </w:divBdr>
        </w:div>
      </w:divsChild>
    </w:div>
    <w:div w:id="2091922576">
      <w:bodyDiv w:val="1"/>
      <w:marLeft w:val="0"/>
      <w:marRight w:val="0"/>
      <w:marTop w:val="0"/>
      <w:marBottom w:val="0"/>
      <w:divBdr>
        <w:top w:val="none" w:sz="0" w:space="0" w:color="auto"/>
        <w:left w:val="none" w:sz="0" w:space="0" w:color="auto"/>
        <w:bottom w:val="none" w:sz="0" w:space="0" w:color="auto"/>
        <w:right w:val="none" w:sz="0" w:space="0" w:color="auto"/>
      </w:divBdr>
      <w:divsChild>
        <w:div w:id="160310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al-data-sets/live-tables-on-planning-application-statistics" TargetMode="External"/><Relationship Id="rId3" Type="http://schemas.openxmlformats.org/officeDocument/2006/relationships/hyperlink" Target="https://www.tamworth.gov.uk/sites/default/files/planning_docs/Local-Plan-Review-2020.pdf" TargetMode="External"/><Relationship Id="rId7" Type="http://schemas.openxmlformats.org/officeDocument/2006/relationships/hyperlink" Target="https://www.legislation.gov.uk/uksi/2020/757/made?view=plain" TargetMode="External"/><Relationship Id="rId2" Type="http://schemas.openxmlformats.org/officeDocument/2006/relationships/hyperlink" Target="https://www.legislation.gov.uk/ukpga/2004/5/contents" TargetMode="External"/><Relationship Id="rId1" Type="http://schemas.openxmlformats.org/officeDocument/2006/relationships/hyperlink" Target="https://www.legislation.gov.uk/uksi/2020/757/made?view=plain" TargetMode="External"/><Relationship Id="rId6" Type="http://schemas.openxmlformats.org/officeDocument/2006/relationships/hyperlink" Target="https://www.legislation.gov.uk/uksi/2020/757/pdfs/uksiod_20200757_en.pdf" TargetMode="External"/><Relationship Id="rId5" Type="http://schemas.openxmlformats.org/officeDocument/2006/relationships/hyperlink" Target="https://www.tamworth.gov.uk/five-year-housing-land-supply-2022-2027" TargetMode="External"/><Relationship Id="rId4" Type="http://schemas.openxmlformats.org/officeDocument/2006/relationships/hyperlink" Target="https://www.tamworth.gov.uk/local-development-sche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amworthbc-my.sharepoint.com/personal/stephaniet_tamworth_gov_uk/Documents/Desktop/Monitoring/Housing%20mi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tamworthbc-my.sharepoint.com/personal/stephaniet_tamworth_gov_uk/Documents/Desktop/Monitoring/Planning%20apps%20decided%20by%20district%20authoriti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Cumulative delivery against local plan target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'[Affordable completions over the life span of the LP.xlsx]Sheet2'!$A$8</c:f>
              <c:strCache>
                <c:ptCount val="1"/>
                <c:pt idx="0">
                  <c:v>Delivery</c:v>
                </c:pt>
              </c:strCache>
            </c:strRef>
          </c:tx>
          <c:spPr>
            <a:ln w="28575" cap="rnd">
              <a:solidFill>
                <a:schemeClr val="accent1"/>
              </a:solidFill>
              <a:round/>
            </a:ln>
            <a:effectLst/>
          </c:spPr>
          <c:marker>
            <c:symbol val="none"/>
          </c:marker>
          <c:cat>
            <c:strRef>
              <c:f>'[Affordable completions over the life span of the LP.xlsx]Sheet2'!$B$7:$R$7</c:f>
              <c:strCache>
                <c:ptCount val="17"/>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strCache>
            </c:strRef>
          </c:cat>
          <c:val>
            <c:numRef>
              <c:f>'[Affordable completions over the life span of the LP.xlsx]Sheet2'!$B$8:$R$8</c:f>
              <c:numCache>
                <c:formatCode>General</c:formatCode>
                <c:ptCount val="17"/>
                <c:pt idx="0">
                  <c:v>83</c:v>
                </c:pt>
                <c:pt idx="1">
                  <c:v>130</c:v>
                </c:pt>
                <c:pt idx="2">
                  <c:v>168</c:v>
                </c:pt>
                <c:pt idx="3">
                  <c:v>184</c:v>
                </c:pt>
                <c:pt idx="4">
                  <c:v>211</c:v>
                </c:pt>
                <c:pt idx="5">
                  <c:v>246</c:v>
                </c:pt>
                <c:pt idx="6">
                  <c:v>281</c:v>
                </c:pt>
                <c:pt idx="7">
                  <c:v>282</c:v>
                </c:pt>
                <c:pt idx="8">
                  <c:v>324</c:v>
                </c:pt>
                <c:pt idx="9">
                  <c:v>342</c:v>
                </c:pt>
                <c:pt idx="10">
                  <c:v>388</c:v>
                </c:pt>
                <c:pt idx="11">
                  <c:v>510</c:v>
                </c:pt>
                <c:pt idx="12">
                  <c:v>573</c:v>
                </c:pt>
                <c:pt idx="13">
                  <c:v>731</c:v>
                </c:pt>
                <c:pt idx="14">
                  <c:v>896</c:v>
                </c:pt>
                <c:pt idx="15">
                  <c:v>986</c:v>
                </c:pt>
                <c:pt idx="16">
                  <c:v>1024</c:v>
                </c:pt>
              </c:numCache>
            </c:numRef>
          </c:val>
          <c:smooth val="0"/>
          <c:extLst>
            <c:ext xmlns:c16="http://schemas.microsoft.com/office/drawing/2014/chart" uri="{C3380CC4-5D6E-409C-BE32-E72D297353CC}">
              <c16:uniqueId val="{00000000-33CA-4118-AF13-35CA2FE0B972}"/>
            </c:ext>
          </c:extLst>
        </c:ser>
        <c:ser>
          <c:idx val="1"/>
          <c:order val="1"/>
          <c:tx>
            <c:strRef>
              <c:f>'[Affordable completions over the life span of the LP.xlsx]Sheet2'!$A$9</c:f>
              <c:strCache>
                <c:ptCount val="1"/>
                <c:pt idx="0">
                  <c:v>Projected delivery</c:v>
                </c:pt>
              </c:strCache>
            </c:strRef>
          </c:tx>
          <c:spPr>
            <a:ln w="28575" cap="rnd">
              <a:solidFill>
                <a:schemeClr val="accent2"/>
              </a:solidFill>
              <a:round/>
            </a:ln>
            <a:effectLst/>
          </c:spPr>
          <c:marker>
            <c:symbol val="none"/>
          </c:marker>
          <c:cat>
            <c:strRef>
              <c:f>'[Affordable completions over the life span of the LP.xlsx]Sheet2'!$B$7:$R$7</c:f>
              <c:strCache>
                <c:ptCount val="17"/>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strCache>
            </c:strRef>
          </c:cat>
          <c:val>
            <c:numRef>
              <c:f>'[Affordable completions over the life span of the LP.xlsx]Sheet2'!$B$9:$R$9</c:f>
              <c:numCache>
                <c:formatCode>General</c:formatCode>
                <c:ptCount val="17"/>
                <c:pt idx="0">
                  <c:v>40</c:v>
                </c:pt>
                <c:pt idx="1">
                  <c:v>80</c:v>
                </c:pt>
                <c:pt idx="2">
                  <c:v>120</c:v>
                </c:pt>
                <c:pt idx="3">
                  <c:v>160</c:v>
                </c:pt>
                <c:pt idx="4">
                  <c:v>200</c:v>
                </c:pt>
                <c:pt idx="5">
                  <c:v>240</c:v>
                </c:pt>
                <c:pt idx="6">
                  <c:v>280</c:v>
                </c:pt>
                <c:pt idx="7">
                  <c:v>320</c:v>
                </c:pt>
                <c:pt idx="8">
                  <c:v>360</c:v>
                </c:pt>
                <c:pt idx="9">
                  <c:v>400</c:v>
                </c:pt>
                <c:pt idx="10">
                  <c:v>440</c:v>
                </c:pt>
                <c:pt idx="11">
                  <c:v>480</c:v>
                </c:pt>
                <c:pt idx="12">
                  <c:v>520</c:v>
                </c:pt>
                <c:pt idx="13">
                  <c:v>560</c:v>
                </c:pt>
                <c:pt idx="14">
                  <c:v>600</c:v>
                </c:pt>
                <c:pt idx="15">
                  <c:v>640</c:v>
                </c:pt>
                <c:pt idx="16">
                  <c:v>680</c:v>
                </c:pt>
              </c:numCache>
            </c:numRef>
          </c:val>
          <c:smooth val="0"/>
          <c:extLst>
            <c:ext xmlns:c16="http://schemas.microsoft.com/office/drawing/2014/chart" uri="{C3380CC4-5D6E-409C-BE32-E72D297353CC}">
              <c16:uniqueId val="{00000001-33CA-4118-AF13-35CA2FE0B972}"/>
            </c:ext>
          </c:extLst>
        </c:ser>
        <c:dLbls>
          <c:showLegendKey val="0"/>
          <c:showVal val="0"/>
          <c:showCatName val="0"/>
          <c:showSerName val="0"/>
          <c:showPercent val="0"/>
          <c:showBubbleSize val="0"/>
        </c:dLbls>
        <c:smooth val="0"/>
        <c:axId val="44258664"/>
        <c:axId val="820757080"/>
      </c:lineChart>
      <c:catAx>
        <c:axId val="44258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Monitoring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757080"/>
        <c:crosses val="autoZero"/>
        <c:auto val="1"/>
        <c:lblAlgn val="ctr"/>
        <c:lblOffset val="100"/>
        <c:noMultiLvlLbl val="0"/>
      </c:catAx>
      <c:valAx>
        <c:axId val="820757080"/>
        <c:scaling>
          <c:orientation val="minMax"/>
          <c:max val="1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Number</a:t>
                </a:r>
                <a:r>
                  <a:rPr lang="en-GB" b="1" baseline="0"/>
                  <a:t> of units </a:t>
                </a:r>
                <a:endParaRPr lang="en-GB"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58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Housing</a:t>
            </a:r>
            <a:r>
              <a:rPr lang="en-US" b="1" baseline="0"/>
              <a:t> Mix (% by size)</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6708333333333336"/>
          <c:w val="0.93888888888888888"/>
          <c:h val="0.6714577865266842"/>
        </c:manualLayout>
      </c:layout>
      <c:pie3DChart>
        <c:varyColors val="1"/>
        <c:ser>
          <c:idx val="0"/>
          <c:order val="0"/>
          <c:tx>
            <c:strRef>
              <c:f>Sheet1!$A$4</c:f>
              <c:strCache>
                <c:ptCount val="1"/>
                <c:pt idx="0">
                  <c:v>Percentage (MROUND)</c:v>
                </c:pt>
              </c:strCache>
            </c:strRef>
          </c:tx>
          <c:dPt>
            <c:idx val="0"/>
            <c:bubble3D val="0"/>
            <c:explosion val="9"/>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9FD-45FA-BACE-F0D30243BF60}"/>
              </c:ext>
            </c:extLst>
          </c:dPt>
          <c:dPt>
            <c:idx val="1"/>
            <c:bubble3D val="0"/>
            <c:explosion val="12"/>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FD-45FA-BACE-F0D30243BF60}"/>
              </c:ext>
            </c:extLst>
          </c:dPt>
          <c:dPt>
            <c:idx val="2"/>
            <c:bubble3D val="0"/>
            <c:explosion val="11"/>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9FD-45FA-BACE-F0D30243BF60}"/>
              </c:ext>
            </c:extLst>
          </c:dPt>
          <c:dPt>
            <c:idx val="3"/>
            <c:bubble3D val="0"/>
            <c:explosion val="9"/>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9FD-45FA-BACE-F0D30243BF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Sheet1!$B$1:$E$1</c:f>
              <c:strCache>
                <c:ptCount val="4"/>
                <c:pt idx="0">
                  <c:v>1 bed</c:v>
                </c:pt>
                <c:pt idx="1">
                  <c:v>2 bed</c:v>
                </c:pt>
                <c:pt idx="2">
                  <c:v>3 bed</c:v>
                </c:pt>
                <c:pt idx="3">
                  <c:v>4+ bed</c:v>
                </c:pt>
              </c:strCache>
            </c:strRef>
          </c:cat>
          <c:val>
            <c:numRef>
              <c:f>Sheet1!$B$4:$E$4</c:f>
              <c:numCache>
                <c:formatCode>0</c:formatCode>
                <c:ptCount val="4"/>
                <c:pt idx="0">
                  <c:v>7</c:v>
                </c:pt>
                <c:pt idx="1">
                  <c:v>31</c:v>
                </c:pt>
                <c:pt idx="2">
                  <c:v>47</c:v>
                </c:pt>
                <c:pt idx="3">
                  <c:v>16</c:v>
                </c:pt>
              </c:numCache>
            </c:numRef>
          </c:val>
          <c:extLst>
            <c:ext xmlns:c16="http://schemas.microsoft.com/office/drawing/2014/chart" uri="{C3380CC4-5D6E-409C-BE32-E72D297353CC}">
              <c16:uniqueId val="{00000008-E9FD-45FA-BACE-F0D30243BF60}"/>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'[Planning apps decided by district authorities.xlsx]Sheet1'!$C$4</c:f>
              <c:strCache>
                <c:ptCount val="1"/>
                <c:pt idx="0">
                  <c:v>Major commercial</c:v>
                </c:pt>
              </c:strCache>
            </c:strRef>
          </c:tx>
          <c:spPr>
            <a:ln w="28575" cap="rnd">
              <a:solidFill>
                <a:schemeClr val="accent6"/>
              </a:solidFill>
              <a:round/>
            </a:ln>
            <a:effectLst/>
          </c:spPr>
          <c:marker>
            <c:symbol val="none"/>
          </c:marker>
          <c:cat>
            <c:multiLvlStrRef>
              <c:f>[1]Sheet1!$D$2:$AR$3</c:f>
              <c:multiLvlStrCache>
                <c:ptCount val="41"/>
                <c:lvl>
                  <c:pt idx="0">
                    <c:v>Dec</c:v>
                  </c:pt>
                  <c:pt idx="1">
                    <c:v>Mar</c:v>
                  </c:pt>
                  <c:pt idx="2">
                    <c:v>Jun</c:v>
                  </c:pt>
                  <c:pt idx="3">
                    <c:v>Sep</c:v>
                  </c:pt>
                  <c:pt idx="4">
                    <c:v>Dec</c:v>
                  </c:pt>
                  <c:pt idx="5">
                    <c:v>Mar</c:v>
                  </c:pt>
                  <c:pt idx="6">
                    <c:v>Jun</c:v>
                  </c:pt>
                  <c:pt idx="7">
                    <c:v>Sep</c:v>
                  </c:pt>
                  <c:pt idx="8">
                    <c:v>Dec</c:v>
                  </c:pt>
                  <c:pt idx="9">
                    <c:v>Mar</c:v>
                  </c:pt>
                  <c:pt idx="10">
                    <c:v>Jun</c:v>
                  </c:pt>
                  <c:pt idx="11">
                    <c:v>Sep</c:v>
                  </c:pt>
                  <c:pt idx="12">
                    <c:v>Dec </c:v>
                  </c:pt>
                  <c:pt idx="13">
                    <c:v>Mar</c:v>
                  </c:pt>
                  <c:pt idx="14">
                    <c:v>Jun</c:v>
                  </c:pt>
                  <c:pt idx="15">
                    <c:v>Sep</c:v>
                  </c:pt>
                  <c:pt idx="16">
                    <c:v>Dec</c:v>
                  </c:pt>
                  <c:pt idx="17">
                    <c:v>Mar</c:v>
                  </c:pt>
                  <c:pt idx="18">
                    <c:v>Jun</c:v>
                  </c:pt>
                  <c:pt idx="19">
                    <c:v>Sep </c:v>
                  </c:pt>
                  <c:pt idx="20">
                    <c:v>Dec</c:v>
                  </c:pt>
                  <c:pt idx="21">
                    <c:v>Mar</c:v>
                  </c:pt>
                  <c:pt idx="22">
                    <c:v>Jun</c:v>
                  </c:pt>
                  <c:pt idx="23">
                    <c:v>Sep</c:v>
                  </c:pt>
                  <c:pt idx="24">
                    <c:v>Dec</c:v>
                  </c:pt>
                  <c:pt idx="25">
                    <c:v>Mar</c:v>
                  </c:pt>
                  <c:pt idx="26">
                    <c:v>Jun</c:v>
                  </c:pt>
                  <c:pt idx="27">
                    <c:v>Sep</c:v>
                  </c:pt>
                  <c:pt idx="28">
                    <c:v>Dec</c:v>
                  </c:pt>
                  <c:pt idx="29">
                    <c:v>Mar</c:v>
                  </c:pt>
                  <c:pt idx="30">
                    <c:v>Jun</c:v>
                  </c:pt>
                  <c:pt idx="31">
                    <c:v>Sep</c:v>
                  </c:pt>
                  <c:pt idx="32">
                    <c:v>Dec</c:v>
                  </c:pt>
                  <c:pt idx="33">
                    <c:v>Mar</c:v>
                  </c:pt>
                  <c:pt idx="34">
                    <c:v>Jun</c:v>
                  </c:pt>
                  <c:pt idx="35">
                    <c:v>Sep</c:v>
                  </c:pt>
                  <c:pt idx="36">
                    <c:v>Dec</c:v>
                  </c:pt>
                  <c:pt idx="37">
                    <c:v>Mar</c:v>
                  </c:pt>
                  <c:pt idx="38">
                    <c:v>Jun</c:v>
                  </c:pt>
                  <c:pt idx="39">
                    <c:v>Sep</c:v>
                  </c:pt>
                  <c:pt idx="40">
                    <c:v>Dec</c:v>
                  </c:pt>
                </c:lvl>
                <c:lvl>
                  <c:pt idx="0">
                    <c:v>2012-13</c:v>
                  </c:pt>
                  <c:pt idx="2">
                    <c:v>2013-14</c:v>
                  </c:pt>
                  <c:pt idx="6">
                    <c:v>2014-15</c:v>
                  </c:pt>
                  <c:pt idx="10">
                    <c:v>2015-16</c:v>
                  </c:pt>
                  <c:pt idx="14">
                    <c:v>2016-17</c:v>
                  </c:pt>
                  <c:pt idx="18">
                    <c:v>2017-18</c:v>
                  </c:pt>
                  <c:pt idx="22">
                    <c:v>2018-19</c:v>
                  </c:pt>
                  <c:pt idx="26">
                    <c:v>2019-20</c:v>
                  </c:pt>
                  <c:pt idx="30">
                    <c:v>2020-21</c:v>
                  </c:pt>
                  <c:pt idx="34">
                    <c:v>2021-22</c:v>
                  </c:pt>
                  <c:pt idx="38">
                    <c:v>2022-23</c:v>
                  </c:pt>
                </c:lvl>
              </c:multiLvlStrCache>
            </c:multiLvlStrRef>
          </c:cat>
          <c:val>
            <c:numRef>
              <c:f>[1]Sheet1!$D$4:$AR$4</c:f>
              <c:numCache>
                <c:formatCode>General</c:formatCode>
                <c:ptCount val="41"/>
                <c:pt idx="0">
                  <c:v>526</c:v>
                </c:pt>
                <c:pt idx="1">
                  <c:v>486</c:v>
                </c:pt>
                <c:pt idx="2">
                  <c:v>509</c:v>
                </c:pt>
                <c:pt idx="3">
                  <c:v>532</c:v>
                </c:pt>
                <c:pt idx="4">
                  <c:v>549</c:v>
                </c:pt>
                <c:pt idx="5">
                  <c:v>458</c:v>
                </c:pt>
                <c:pt idx="6">
                  <c:v>492</c:v>
                </c:pt>
                <c:pt idx="7">
                  <c:v>507</c:v>
                </c:pt>
                <c:pt idx="8">
                  <c:v>469</c:v>
                </c:pt>
                <c:pt idx="9">
                  <c:v>538</c:v>
                </c:pt>
                <c:pt idx="10">
                  <c:v>441</c:v>
                </c:pt>
                <c:pt idx="11">
                  <c:v>519</c:v>
                </c:pt>
                <c:pt idx="12">
                  <c:v>570</c:v>
                </c:pt>
                <c:pt idx="13">
                  <c:v>496</c:v>
                </c:pt>
                <c:pt idx="14">
                  <c:v>506</c:v>
                </c:pt>
                <c:pt idx="15">
                  <c:v>525</c:v>
                </c:pt>
                <c:pt idx="16">
                  <c:v>534</c:v>
                </c:pt>
                <c:pt idx="17">
                  <c:v>523</c:v>
                </c:pt>
                <c:pt idx="18">
                  <c:v>474</c:v>
                </c:pt>
                <c:pt idx="19">
                  <c:v>451</c:v>
                </c:pt>
                <c:pt idx="20">
                  <c:v>542</c:v>
                </c:pt>
                <c:pt idx="21">
                  <c:v>462</c:v>
                </c:pt>
                <c:pt idx="22">
                  <c:v>462</c:v>
                </c:pt>
                <c:pt idx="23">
                  <c:v>443</c:v>
                </c:pt>
                <c:pt idx="24">
                  <c:v>499</c:v>
                </c:pt>
                <c:pt idx="25">
                  <c:v>445</c:v>
                </c:pt>
                <c:pt idx="26">
                  <c:v>419</c:v>
                </c:pt>
                <c:pt idx="27">
                  <c:v>428</c:v>
                </c:pt>
                <c:pt idx="28">
                  <c:v>458</c:v>
                </c:pt>
                <c:pt idx="29">
                  <c:v>434</c:v>
                </c:pt>
                <c:pt idx="30">
                  <c:v>348</c:v>
                </c:pt>
                <c:pt idx="31">
                  <c:v>383</c:v>
                </c:pt>
                <c:pt idx="32">
                  <c:v>427</c:v>
                </c:pt>
                <c:pt idx="33">
                  <c:v>402</c:v>
                </c:pt>
                <c:pt idx="34">
                  <c:v>397</c:v>
                </c:pt>
                <c:pt idx="35">
                  <c:v>432</c:v>
                </c:pt>
                <c:pt idx="36">
                  <c:v>399</c:v>
                </c:pt>
                <c:pt idx="37">
                  <c:v>426</c:v>
                </c:pt>
                <c:pt idx="38">
                  <c:v>411</c:v>
                </c:pt>
                <c:pt idx="39">
                  <c:v>411</c:v>
                </c:pt>
                <c:pt idx="40">
                  <c:v>374</c:v>
                </c:pt>
              </c:numCache>
            </c:numRef>
          </c:val>
          <c:smooth val="0"/>
          <c:extLst>
            <c:ext xmlns:c16="http://schemas.microsoft.com/office/drawing/2014/chart" uri="{C3380CC4-5D6E-409C-BE32-E72D297353CC}">
              <c16:uniqueId val="{00000000-7276-48C2-9382-D105A5AA4938}"/>
            </c:ext>
          </c:extLst>
        </c:ser>
        <c:ser>
          <c:idx val="1"/>
          <c:order val="1"/>
          <c:tx>
            <c:strRef>
              <c:f>'[Planning apps decided by district authorities.xlsx]Sheet1'!$C$5</c:f>
              <c:strCache>
                <c:ptCount val="1"/>
                <c:pt idx="0">
                  <c:v>Minor commercial</c:v>
                </c:pt>
              </c:strCache>
            </c:strRef>
          </c:tx>
          <c:spPr>
            <a:ln w="28575" cap="rnd">
              <a:solidFill>
                <a:schemeClr val="accent5"/>
              </a:solidFill>
              <a:round/>
            </a:ln>
            <a:effectLst/>
          </c:spPr>
          <c:marker>
            <c:symbol val="none"/>
          </c:marker>
          <c:cat>
            <c:multiLvlStrRef>
              <c:f>[1]Sheet1!$D$2:$AR$3</c:f>
              <c:multiLvlStrCache>
                <c:ptCount val="41"/>
                <c:lvl>
                  <c:pt idx="0">
                    <c:v>Dec</c:v>
                  </c:pt>
                  <c:pt idx="1">
                    <c:v>Mar</c:v>
                  </c:pt>
                  <c:pt idx="2">
                    <c:v>Jun</c:v>
                  </c:pt>
                  <c:pt idx="3">
                    <c:v>Sep</c:v>
                  </c:pt>
                  <c:pt idx="4">
                    <c:v>Dec</c:v>
                  </c:pt>
                  <c:pt idx="5">
                    <c:v>Mar</c:v>
                  </c:pt>
                  <c:pt idx="6">
                    <c:v>Jun</c:v>
                  </c:pt>
                  <c:pt idx="7">
                    <c:v>Sep</c:v>
                  </c:pt>
                  <c:pt idx="8">
                    <c:v>Dec</c:v>
                  </c:pt>
                  <c:pt idx="9">
                    <c:v>Mar</c:v>
                  </c:pt>
                  <c:pt idx="10">
                    <c:v>Jun</c:v>
                  </c:pt>
                  <c:pt idx="11">
                    <c:v>Sep</c:v>
                  </c:pt>
                  <c:pt idx="12">
                    <c:v>Dec </c:v>
                  </c:pt>
                  <c:pt idx="13">
                    <c:v>Mar</c:v>
                  </c:pt>
                  <c:pt idx="14">
                    <c:v>Jun</c:v>
                  </c:pt>
                  <c:pt idx="15">
                    <c:v>Sep</c:v>
                  </c:pt>
                  <c:pt idx="16">
                    <c:v>Dec</c:v>
                  </c:pt>
                  <c:pt idx="17">
                    <c:v>Mar</c:v>
                  </c:pt>
                  <c:pt idx="18">
                    <c:v>Jun</c:v>
                  </c:pt>
                  <c:pt idx="19">
                    <c:v>Sep </c:v>
                  </c:pt>
                  <c:pt idx="20">
                    <c:v>Dec</c:v>
                  </c:pt>
                  <c:pt idx="21">
                    <c:v>Mar</c:v>
                  </c:pt>
                  <c:pt idx="22">
                    <c:v>Jun</c:v>
                  </c:pt>
                  <c:pt idx="23">
                    <c:v>Sep</c:v>
                  </c:pt>
                  <c:pt idx="24">
                    <c:v>Dec</c:v>
                  </c:pt>
                  <c:pt idx="25">
                    <c:v>Mar</c:v>
                  </c:pt>
                  <c:pt idx="26">
                    <c:v>Jun</c:v>
                  </c:pt>
                  <c:pt idx="27">
                    <c:v>Sep</c:v>
                  </c:pt>
                  <c:pt idx="28">
                    <c:v>Dec</c:v>
                  </c:pt>
                  <c:pt idx="29">
                    <c:v>Mar</c:v>
                  </c:pt>
                  <c:pt idx="30">
                    <c:v>Jun</c:v>
                  </c:pt>
                  <c:pt idx="31">
                    <c:v>Sep</c:v>
                  </c:pt>
                  <c:pt idx="32">
                    <c:v>Dec</c:v>
                  </c:pt>
                  <c:pt idx="33">
                    <c:v>Mar</c:v>
                  </c:pt>
                  <c:pt idx="34">
                    <c:v>Jun</c:v>
                  </c:pt>
                  <c:pt idx="35">
                    <c:v>Sep</c:v>
                  </c:pt>
                  <c:pt idx="36">
                    <c:v>Dec</c:v>
                  </c:pt>
                  <c:pt idx="37">
                    <c:v>Mar</c:v>
                  </c:pt>
                  <c:pt idx="38">
                    <c:v>Jun</c:v>
                  </c:pt>
                  <c:pt idx="39">
                    <c:v>Sep</c:v>
                  </c:pt>
                  <c:pt idx="40">
                    <c:v>Dec</c:v>
                  </c:pt>
                </c:lvl>
                <c:lvl>
                  <c:pt idx="0">
                    <c:v>2012-13</c:v>
                  </c:pt>
                  <c:pt idx="2">
                    <c:v>2013-14</c:v>
                  </c:pt>
                  <c:pt idx="6">
                    <c:v>2014-15</c:v>
                  </c:pt>
                  <c:pt idx="10">
                    <c:v>2015-16</c:v>
                  </c:pt>
                  <c:pt idx="14">
                    <c:v>2016-17</c:v>
                  </c:pt>
                  <c:pt idx="18">
                    <c:v>2017-18</c:v>
                  </c:pt>
                  <c:pt idx="22">
                    <c:v>2018-19</c:v>
                  </c:pt>
                  <c:pt idx="26">
                    <c:v>2019-20</c:v>
                  </c:pt>
                  <c:pt idx="30">
                    <c:v>2020-21</c:v>
                  </c:pt>
                  <c:pt idx="34">
                    <c:v>2021-22</c:v>
                  </c:pt>
                  <c:pt idx="38">
                    <c:v>2022-23</c:v>
                  </c:pt>
                </c:lvl>
              </c:multiLvlStrCache>
            </c:multiLvlStrRef>
          </c:cat>
          <c:val>
            <c:numRef>
              <c:f>[1]Sheet1!$D$5:$AR$5</c:f>
              <c:numCache>
                <c:formatCode>General</c:formatCode>
                <c:ptCount val="41"/>
                <c:pt idx="0">
                  <c:v>2657</c:v>
                </c:pt>
                <c:pt idx="1">
                  <c:v>2134</c:v>
                </c:pt>
                <c:pt idx="2">
                  <c:v>2387</c:v>
                </c:pt>
                <c:pt idx="3">
                  <c:v>2579</c:v>
                </c:pt>
                <c:pt idx="4">
                  <c:v>2270</c:v>
                </c:pt>
                <c:pt idx="5">
                  <c:v>2178</c:v>
                </c:pt>
                <c:pt idx="6">
                  <c:v>2411</c:v>
                </c:pt>
                <c:pt idx="7">
                  <c:v>2560</c:v>
                </c:pt>
                <c:pt idx="8">
                  <c:v>2427</c:v>
                </c:pt>
                <c:pt idx="9">
                  <c:v>2305</c:v>
                </c:pt>
                <c:pt idx="10">
                  <c:v>2372</c:v>
                </c:pt>
                <c:pt idx="11">
                  <c:v>2440</c:v>
                </c:pt>
                <c:pt idx="12">
                  <c:v>2281</c:v>
                </c:pt>
                <c:pt idx="13">
                  <c:v>2159</c:v>
                </c:pt>
                <c:pt idx="14">
                  <c:v>2280</c:v>
                </c:pt>
                <c:pt idx="15">
                  <c:v>2375</c:v>
                </c:pt>
                <c:pt idx="16">
                  <c:v>2342</c:v>
                </c:pt>
                <c:pt idx="17">
                  <c:v>2072</c:v>
                </c:pt>
                <c:pt idx="18">
                  <c:v>2013</c:v>
                </c:pt>
                <c:pt idx="19">
                  <c:v>2104</c:v>
                </c:pt>
                <c:pt idx="20">
                  <c:v>2030</c:v>
                </c:pt>
                <c:pt idx="21">
                  <c:v>1837</c:v>
                </c:pt>
                <c:pt idx="22">
                  <c:v>1778</c:v>
                </c:pt>
                <c:pt idx="23">
                  <c:v>1846</c:v>
                </c:pt>
                <c:pt idx="24">
                  <c:v>1813</c:v>
                </c:pt>
                <c:pt idx="25">
                  <c:v>1857</c:v>
                </c:pt>
                <c:pt idx="26">
                  <c:v>1796</c:v>
                </c:pt>
                <c:pt idx="27">
                  <c:v>1777</c:v>
                </c:pt>
                <c:pt idx="28">
                  <c:v>1670</c:v>
                </c:pt>
                <c:pt idx="29">
                  <c:v>1563</c:v>
                </c:pt>
                <c:pt idx="30">
                  <c:v>1296</c:v>
                </c:pt>
                <c:pt idx="31">
                  <c:v>1291</c:v>
                </c:pt>
                <c:pt idx="32">
                  <c:v>1414</c:v>
                </c:pt>
                <c:pt idx="33">
                  <c:v>1515</c:v>
                </c:pt>
                <c:pt idx="34">
                  <c:v>1539</c:v>
                </c:pt>
                <c:pt idx="35">
                  <c:v>1564</c:v>
                </c:pt>
                <c:pt idx="36">
                  <c:v>1547</c:v>
                </c:pt>
                <c:pt idx="37">
                  <c:v>1463</c:v>
                </c:pt>
                <c:pt idx="38">
                  <c:v>1437</c:v>
                </c:pt>
                <c:pt idx="39">
                  <c:v>1457</c:v>
                </c:pt>
                <c:pt idx="40">
                  <c:v>1430</c:v>
                </c:pt>
              </c:numCache>
            </c:numRef>
          </c:val>
          <c:smooth val="0"/>
          <c:extLst>
            <c:ext xmlns:c16="http://schemas.microsoft.com/office/drawing/2014/chart" uri="{C3380CC4-5D6E-409C-BE32-E72D297353CC}">
              <c16:uniqueId val="{00000001-7276-48C2-9382-D105A5AA4938}"/>
            </c:ext>
          </c:extLst>
        </c:ser>
        <c:ser>
          <c:idx val="2"/>
          <c:order val="2"/>
          <c:tx>
            <c:strRef>
              <c:f>'[Planning apps decided by district authorities.xlsx]Sheet1'!$C$6</c:f>
              <c:strCache>
                <c:ptCount val="1"/>
                <c:pt idx="0">
                  <c:v>Major residential</c:v>
                </c:pt>
              </c:strCache>
            </c:strRef>
          </c:tx>
          <c:spPr>
            <a:ln w="28575" cap="rnd">
              <a:solidFill>
                <a:schemeClr val="accent4"/>
              </a:solidFill>
              <a:round/>
            </a:ln>
            <a:effectLst/>
          </c:spPr>
          <c:marker>
            <c:symbol val="none"/>
          </c:marker>
          <c:cat>
            <c:multiLvlStrRef>
              <c:f>[1]Sheet1!$D$2:$AR$3</c:f>
              <c:multiLvlStrCache>
                <c:ptCount val="41"/>
                <c:lvl>
                  <c:pt idx="0">
                    <c:v>Dec</c:v>
                  </c:pt>
                  <c:pt idx="1">
                    <c:v>Mar</c:v>
                  </c:pt>
                  <c:pt idx="2">
                    <c:v>Jun</c:v>
                  </c:pt>
                  <c:pt idx="3">
                    <c:v>Sep</c:v>
                  </c:pt>
                  <c:pt idx="4">
                    <c:v>Dec</c:v>
                  </c:pt>
                  <c:pt idx="5">
                    <c:v>Mar</c:v>
                  </c:pt>
                  <c:pt idx="6">
                    <c:v>Jun</c:v>
                  </c:pt>
                  <c:pt idx="7">
                    <c:v>Sep</c:v>
                  </c:pt>
                  <c:pt idx="8">
                    <c:v>Dec</c:v>
                  </c:pt>
                  <c:pt idx="9">
                    <c:v>Mar</c:v>
                  </c:pt>
                  <c:pt idx="10">
                    <c:v>Jun</c:v>
                  </c:pt>
                  <c:pt idx="11">
                    <c:v>Sep</c:v>
                  </c:pt>
                  <c:pt idx="12">
                    <c:v>Dec </c:v>
                  </c:pt>
                  <c:pt idx="13">
                    <c:v>Mar</c:v>
                  </c:pt>
                  <c:pt idx="14">
                    <c:v>Jun</c:v>
                  </c:pt>
                  <c:pt idx="15">
                    <c:v>Sep</c:v>
                  </c:pt>
                  <c:pt idx="16">
                    <c:v>Dec</c:v>
                  </c:pt>
                  <c:pt idx="17">
                    <c:v>Mar</c:v>
                  </c:pt>
                  <c:pt idx="18">
                    <c:v>Jun</c:v>
                  </c:pt>
                  <c:pt idx="19">
                    <c:v>Sep </c:v>
                  </c:pt>
                  <c:pt idx="20">
                    <c:v>Dec</c:v>
                  </c:pt>
                  <c:pt idx="21">
                    <c:v>Mar</c:v>
                  </c:pt>
                  <c:pt idx="22">
                    <c:v>Jun</c:v>
                  </c:pt>
                  <c:pt idx="23">
                    <c:v>Sep</c:v>
                  </c:pt>
                  <c:pt idx="24">
                    <c:v>Dec</c:v>
                  </c:pt>
                  <c:pt idx="25">
                    <c:v>Mar</c:v>
                  </c:pt>
                  <c:pt idx="26">
                    <c:v>Jun</c:v>
                  </c:pt>
                  <c:pt idx="27">
                    <c:v>Sep</c:v>
                  </c:pt>
                  <c:pt idx="28">
                    <c:v>Dec</c:v>
                  </c:pt>
                  <c:pt idx="29">
                    <c:v>Mar</c:v>
                  </c:pt>
                  <c:pt idx="30">
                    <c:v>Jun</c:v>
                  </c:pt>
                  <c:pt idx="31">
                    <c:v>Sep</c:v>
                  </c:pt>
                  <c:pt idx="32">
                    <c:v>Dec</c:v>
                  </c:pt>
                  <c:pt idx="33">
                    <c:v>Mar</c:v>
                  </c:pt>
                  <c:pt idx="34">
                    <c:v>Jun</c:v>
                  </c:pt>
                  <c:pt idx="35">
                    <c:v>Sep</c:v>
                  </c:pt>
                  <c:pt idx="36">
                    <c:v>Dec</c:v>
                  </c:pt>
                  <c:pt idx="37">
                    <c:v>Mar</c:v>
                  </c:pt>
                  <c:pt idx="38">
                    <c:v>Jun</c:v>
                  </c:pt>
                  <c:pt idx="39">
                    <c:v>Sep</c:v>
                  </c:pt>
                  <c:pt idx="40">
                    <c:v>Dec</c:v>
                  </c:pt>
                </c:lvl>
                <c:lvl>
                  <c:pt idx="0">
                    <c:v>2012-13</c:v>
                  </c:pt>
                  <c:pt idx="2">
                    <c:v>2013-14</c:v>
                  </c:pt>
                  <c:pt idx="6">
                    <c:v>2014-15</c:v>
                  </c:pt>
                  <c:pt idx="10">
                    <c:v>2015-16</c:v>
                  </c:pt>
                  <c:pt idx="14">
                    <c:v>2016-17</c:v>
                  </c:pt>
                  <c:pt idx="18">
                    <c:v>2017-18</c:v>
                  </c:pt>
                  <c:pt idx="22">
                    <c:v>2018-19</c:v>
                  </c:pt>
                  <c:pt idx="26">
                    <c:v>2019-20</c:v>
                  </c:pt>
                  <c:pt idx="30">
                    <c:v>2020-21</c:v>
                  </c:pt>
                  <c:pt idx="34">
                    <c:v>2021-22</c:v>
                  </c:pt>
                  <c:pt idx="38">
                    <c:v>2022-23</c:v>
                  </c:pt>
                </c:lvl>
              </c:multiLvlStrCache>
            </c:multiLvlStrRef>
          </c:cat>
          <c:val>
            <c:numRef>
              <c:f>[1]Sheet1!$D$6:$AR$6</c:f>
              <c:numCache>
                <c:formatCode>General</c:formatCode>
                <c:ptCount val="41"/>
                <c:pt idx="0">
                  <c:v>1139</c:v>
                </c:pt>
                <c:pt idx="1">
                  <c:v>1287</c:v>
                </c:pt>
                <c:pt idx="2">
                  <c:v>1333</c:v>
                </c:pt>
                <c:pt idx="3">
                  <c:v>1415</c:v>
                </c:pt>
                <c:pt idx="4">
                  <c:v>1575</c:v>
                </c:pt>
                <c:pt idx="5">
                  <c:v>1323</c:v>
                </c:pt>
                <c:pt idx="6">
                  <c:v>1277</c:v>
                </c:pt>
                <c:pt idx="7">
                  <c:v>1256</c:v>
                </c:pt>
                <c:pt idx="8">
                  <c:v>1489</c:v>
                </c:pt>
                <c:pt idx="9">
                  <c:v>1533</c:v>
                </c:pt>
                <c:pt idx="10">
                  <c:v>1423</c:v>
                </c:pt>
                <c:pt idx="11">
                  <c:v>1410</c:v>
                </c:pt>
                <c:pt idx="12">
                  <c:v>1602</c:v>
                </c:pt>
                <c:pt idx="13">
                  <c:v>1486</c:v>
                </c:pt>
                <c:pt idx="14">
                  <c:v>1556</c:v>
                </c:pt>
                <c:pt idx="15">
                  <c:v>1575</c:v>
                </c:pt>
                <c:pt idx="16">
                  <c:v>1744</c:v>
                </c:pt>
                <c:pt idx="17">
                  <c:v>1742</c:v>
                </c:pt>
                <c:pt idx="18">
                  <c:v>1563</c:v>
                </c:pt>
                <c:pt idx="19">
                  <c:v>1594</c:v>
                </c:pt>
                <c:pt idx="20">
                  <c:v>1649</c:v>
                </c:pt>
                <c:pt idx="21">
                  <c:v>1676</c:v>
                </c:pt>
                <c:pt idx="22">
                  <c:v>1524</c:v>
                </c:pt>
                <c:pt idx="23">
                  <c:v>1574</c:v>
                </c:pt>
                <c:pt idx="24">
                  <c:v>1620</c:v>
                </c:pt>
                <c:pt idx="25">
                  <c:v>1586</c:v>
                </c:pt>
                <c:pt idx="26">
                  <c:v>1400</c:v>
                </c:pt>
                <c:pt idx="27">
                  <c:v>1423</c:v>
                </c:pt>
                <c:pt idx="28">
                  <c:v>1531</c:v>
                </c:pt>
                <c:pt idx="29">
                  <c:v>1310</c:v>
                </c:pt>
                <c:pt idx="30">
                  <c:v>1018</c:v>
                </c:pt>
                <c:pt idx="31">
                  <c:v>1323</c:v>
                </c:pt>
                <c:pt idx="32">
                  <c:v>1322</c:v>
                </c:pt>
                <c:pt idx="33">
                  <c:v>1282</c:v>
                </c:pt>
                <c:pt idx="34">
                  <c:v>1208</c:v>
                </c:pt>
                <c:pt idx="35">
                  <c:v>1123</c:v>
                </c:pt>
                <c:pt idx="36">
                  <c:v>1189</c:v>
                </c:pt>
                <c:pt idx="37">
                  <c:v>1227</c:v>
                </c:pt>
                <c:pt idx="38">
                  <c:v>1004</c:v>
                </c:pt>
                <c:pt idx="39">
                  <c:v>1008</c:v>
                </c:pt>
                <c:pt idx="40">
                  <c:v>1162</c:v>
                </c:pt>
              </c:numCache>
            </c:numRef>
          </c:val>
          <c:smooth val="0"/>
          <c:extLst>
            <c:ext xmlns:c16="http://schemas.microsoft.com/office/drawing/2014/chart" uri="{C3380CC4-5D6E-409C-BE32-E72D297353CC}">
              <c16:uniqueId val="{00000002-7276-48C2-9382-D105A5AA4938}"/>
            </c:ext>
          </c:extLst>
        </c:ser>
        <c:ser>
          <c:idx val="3"/>
          <c:order val="3"/>
          <c:tx>
            <c:strRef>
              <c:f>'[Planning apps decided by district authorities.xlsx]Sheet1'!$C$7</c:f>
              <c:strCache>
                <c:ptCount val="1"/>
                <c:pt idx="0">
                  <c:v>Minor residential</c:v>
                </c:pt>
              </c:strCache>
            </c:strRef>
          </c:tx>
          <c:spPr>
            <a:ln w="28575" cap="rnd">
              <a:solidFill>
                <a:schemeClr val="accent6">
                  <a:lumMod val="60000"/>
                </a:schemeClr>
              </a:solidFill>
              <a:round/>
            </a:ln>
            <a:effectLst/>
          </c:spPr>
          <c:marker>
            <c:symbol val="none"/>
          </c:marker>
          <c:cat>
            <c:multiLvlStrRef>
              <c:f>[1]Sheet1!$D$2:$AR$3</c:f>
              <c:multiLvlStrCache>
                <c:ptCount val="41"/>
                <c:lvl>
                  <c:pt idx="0">
                    <c:v>Dec</c:v>
                  </c:pt>
                  <c:pt idx="1">
                    <c:v>Mar</c:v>
                  </c:pt>
                  <c:pt idx="2">
                    <c:v>Jun</c:v>
                  </c:pt>
                  <c:pt idx="3">
                    <c:v>Sep</c:v>
                  </c:pt>
                  <c:pt idx="4">
                    <c:v>Dec</c:v>
                  </c:pt>
                  <c:pt idx="5">
                    <c:v>Mar</c:v>
                  </c:pt>
                  <c:pt idx="6">
                    <c:v>Jun</c:v>
                  </c:pt>
                  <c:pt idx="7">
                    <c:v>Sep</c:v>
                  </c:pt>
                  <c:pt idx="8">
                    <c:v>Dec</c:v>
                  </c:pt>
                  <c:pt idx="9">
                    <c:v>Mar</c:v>
                  </c:pt>
                  <c:pt idx="10">
                    <c:v>Jun</c:v>
                  </c:pt>
                  <c:pt idx="11">
                    <c:v>Sep</c:v>
                  </c:pt>
                  <c:pt idx="12">
                    <c:v>Dec </c:v>
                  </c:pt>
                  <c:pt idx="13">
                    <c:v>Mar</c:v>
                  </c:pt>
                  <c:pt idx="14">
                    <c:v>Jun</c:v>
                  </c:pt>
                  <c:pt idx="15">
                    <c:v>Sep</c:v>
                  </c:pt>
                  <c:pt idx="16">
                    <c:v>Dec</c:v>
                  </c:pt>
                  <c:pt idx="17">
                    <c:v>Mar</c:v>
                  </c:pt>
                  <c:pt idx="18">
                    <c:v>Jun</c:v>
                  </c:pt>
                  <c:pt idx="19">
                    <c:v>Sep </c:v>
                  </c:pt>
                  <c:pt idx="20">
                    <c:v>Dec</c:v>
                  </c:pt>
                  <c:pt idx="21">
                    <c:v>Mar</c:v>
                  </c:pt>
                  <c:pt idx="22">
                    <c:v>Jun</c:v>
                  </c:pt>
                  <c:pt idx="23">
                    <c:v>Sep</c:v>
                  </c:pt>
                  <c:pt idx="24">
                    <c:v>Dec</c:v>
                  </c:pt>
                  <c:pt idx="25">
                    <c:v>Mar</c:v>
                  </c:pt>
                  <c:pt idx="26">
                    <c:v>Jun</c:v>
                  </c:pt>
                  <c:pt idx="27">
                    <c:v>Sep</c:v>
                  </c:pt>
                  <c:pt idx="28">
                    <c:v>Dec</c:v>
                  </c:pt>
                  <c:pt idx="29">
                    <c:v>Mar</c:v>
                  </c:pt>
                  <c:pt idx="30">
                    <c:v>Jun</c:v>
                  </c:pt>
                  <c:pt idx="31">
                    <c:v>Sep</c:v>
                  </c:pt>
                  <c:pt idx="32">
                    <c:v>Dec</c:v>
                  </c:pt>
                  <c:pt idx="33">
                    <c:v>Mar</c:v>
                  </c:pt>
                  <c:pt idx="34">
                    <c:v>Jun</c:v>
                  </c:pt>
                  <c:pt idx="35">
                    <c:v>Sep</c:v>
                  </c:pt>
                  <c:pt idx="36">
                    <c:v>Dec</c:v>
                  </c:pt>
                  <c:pt idx="37">
                    <c:v>Mar</c:v>
                  </c:pt>
                  <c:pt idx="38">
                    <c:v>Jun</c:v>
                  </c:pt>
                  <c:pt idx="39">
                    <c:v>Sep</c:v>
                  </c:pt>
                  <c:pt idx="40">
                    <c:v>Dec</c:v>
                  </c:pt>
                </c:lvl>
                <c:lvl>
                  <c:pt idx="0">
                    <c:v>2012-13</c:v>
                  </c:pt>
                  <c:pt idx="2">
                    <c:v>2013-14</c:v>
                  </c:pt>
                  <c:pt idx="6">
                    <c:v>2014-15</c:v>
                  </c:pt>
                  <c:pt idx="10">
                    <c:v>2015-16</c:v>
                  </c:pt>
                  <c:pt idx="14">
                    <c:v>2016-17</c:v>
                  </c:pt>
                  <c:pt idx="18">
                    <c:v>2017-18</c:v>
                  </c:pt>
                  <c:pt idx="22">
                    <c:v>2018-19</c:v>
                  </c:pt>
                  <c:pt idx="26">
                    <c:v>2019-20</c:v>
                  </c:pt>
                  <c:pt idx="30">
                    <c:v>2020-21</c:v>
                  </c:pt>
                  <c:pt idx="34">
                    <c:v>2021-22</c:v>
                  </c:pt>
                  <c:pt idx="38">
                    <c:v>2022-23</c:v>
                  </c:pt>
                </c:lvl>
              </c:multiLvlStrCache>
            </c:multiLvlStrRef>
          </c:cat>
          <c:val>
            <c:numRef>
              <c:f>[1]Sheet1!$D$7:$AR$7</c:f>
              <c:numCache>
                <c:formatCode>General</c:formatCode>
                <c:ptCount val="41"/>
                <c:pt idx="0">
                  <c:v>8872</c:v>
                </c:pt>
                <c:pt idx="1">
                  <c:v>8166</c:v>
                </c:pt>
                <c:pt idx="2">
                  <c:v>8689</c:v>
                </c:pt>
                <c:pt idx="3">
                  <c:v>9164</c:v>
                </c:pt>
                <c:pt idx="4">
                  <c:v>9219</c:v>
                </c:pt>
                <c:pt idx="5">
                  <c:v>8527</c:v>
                </c:pt>
                <c:pt idx="6">
                  <c:v>9000</c:v>
                </c:pt>
                <c:pt idx="7">
                  <c:v>9656</c:v>
                </c:pt>
                <c:pt idx="8">
                  <c:v>9816</c:v>
                </c:pt>
                <c:pt idx="9">
                  <c:v>9807</c:v>
                </c:pt>
                <c:pt idx="10">
                  <c:v>9894</c:v>
                </c:pt>
                <c:pt idx="11">
                  <c:v>10762</c:v>
                </c:pt>
                <c:pt idx="12">
                  <c:v>10375</c:v>
                </c:pt>
                <c:pt idx="13">
                  <c:v>9821</c:v>
                </c:pt>
                <c:pt idx="14">
                  <c:v>10672</c:v>
                </c:pt>
                <c:pt idx="15">
                  <c:v>11354</c:v>
                </c:pt>
                <c:pt idx="16">
                  <c:v>10977</c:v>
                </c:pt>
                <c:pt idx="17">
                  <c:v>10607</c:v>
                </c:pt>
                <c:pt idx="18">
                  <c:v>10644</c:v>
                </c:pt>
                <c:pt idx="19">
                  <c:v>10921</c:v>
                </c:pt>
                <c:pt idx="20">
                  <c:v>10945</c:v>
                </c:pt>
                <c:pt idx="21">
                  <c:v>10187</c:v>
                </c:pt>
                <c:pt idx="22">
                  <c:v>10353</c:v>
                </c:pt>
                <c:pt idx="23">
                  <c:v>10242</c:v>
                </c:pt>
                <c:pt idx="24">
                  <c:v>10294</c:v>
                </c:pt>
                <c:pt idx="25">
                  <c:v>9615</c:v>
                </c:pt>
                <c:pt idx="26">
                  <c:v>9500</c:v>
                </c:pt>
                <c:pt idx="27">
                  <c:v>10041</c:v>
                </c:pt>
                <c:pt idx="28">
                  <c:v>9602</c:v>
                </c:pt>
                <c:pt idx="29">
                  <c:v>8894</c:v>
                </c:pt>
                <c:pt idx="30">
                  <c:v>8075</c:v>
                </c:pt>
                <c:pt idx="31">
                  <c:v>8594</c:v>
                </c:pt>
                <c:pt idx="32">
                  <c:v>8810</c:v>
                </c:pt>
                <c:pt idx="33">
                  <c:v>8535</c:v>
                </c:pt>
                <c:pt idx="34">
                  <c:v>8373</c:v>
                </c:pt>
                <c:pt idx="35">
                  <c:v>8521</c:v>
                </c:pt>
                <c:pt idx="36">
                  <c:v>8281</c:v>
                </c:pt>
                <c:pt idx="37">
                  <c:v>8014</c:v>
                </c:pt>
                <c:pt idx="38">
                  <c:v>7670</c:v>
                </c:pt>
                <c:pt idx="39">
                  <c:v>7812</c:v>
                </c:pt>
                <c:pt idx="40">
                  <c:v>7668</c:v>
                </c:pt>
              </c:numCache>
            </c:numRef>
          </c:val>
          <c:smooth val="0"/>
          <c:extLst>
            <c:ext xmlns:c16="http://schemas.microsoft.com/office/drawing/2014/chart" uri="{C3380CC4-5D6E-409C-BE32-E72D297353CC}">
              <c16:uniqueId val="{00000003-7276-48C2-9382-D105A5AA4938}"/>
            </c:ext>
          </c:extLst>
        </c:ser>
        <c:dLbls>
          <c:showLegendKey val="0"/>
          <c:showVal val="0"/>
          <c:showCatName val="0"/>
          <c:showSerName val="0"/>
          <c:showPercent val="0"/>
          <c:showBubbleSize val="0"/>
        </c:dLbls>
        <c:smooth val="0"/>
        <c:axId val="552463175"/>
        <c:axId val="336774919"/>
      </c:lineChart>
      <c:catAx>
        <c:axId val="5524631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Quarter ending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774919"/>
        <c:crosses val="autoZero"/>
        <c:auto val="1"/>
        <c:lblAlgn val="ctr"/>
        <c:lblOffset val="100"/>
        <c:noMultiLvlLbl val="0"/>
      </c:catAx>
      <c:valAx>
        <c:axId val="336774919"/>
        <c:scaling>
          <c:orientation val="minMax"/>
          <c:max val="1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solidFill>
                      <a:sysClr val="windowText" lastClr="000000"/>
                    </a:solidFill>
                  </a:rPr>
                  <a:t>Number of decisions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463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DC50-B224-4EB8-A200-F25DDB7A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24410</CharactersWithSpaces>
  <SharedDoc>false</SharedDoc>
  <HLinks>
    <vt:vector size="204" baseType="variant">
      <vt:variant>
        <vt:i4>1310768</vt:i4>
      </vt:variant>
      <vt:variant>
        <vt:i4>152</vt:i4>
      </vt:variant>
      <vt:variant>
        <vt:i4>0</vt:i4>
      </vt:variant>
      <vt:variant>
        <vt:i4>5</vt:i4>
      </vt:variant>
      <vt:variant>
        <vt:lpwstr/>
      </vt:variant>
      <vt:variant>
        <vt:lpwstr>_Toc141166607</vt:lpwstr>
      </vt:variant>
      <vt:variant>
        <vt:i4>1310768</vt:i4>
      </vt:variant>
      <vt:variant>
        <vt:i4>146</vt:i4>
      </vt:variant>
      <vt:variant>
        <vt:i4>0</vt:i4>
      </vt:variant>
      <vt:variant>
        <vt:i4>5</vt:i4>
      </vt:variant>
      <vt:variant>
        <vt:lpwstr/>
      </vt:variant>
      <vt:variant>
        <vt:lpwstr>_Toc141166606</vt:lpwstr>
      </vt:variant>
      <vt:variant>
        <vt:i4>1310768</vt:i4>
      </vt:variant>
      <vt:variant>
        <vt:i4>140</vt:i4>
      </vt:variant>
      <vt:variant>
        <vt:i4>0</vt:i4>
      </vt:variant>
      <vt:variant>
        <vt:i4>5</vt:i4>
      </vt:variant>
      <vt:variant>
        <vt:lpwstr/>
      </vt:variant>
      <vt:variant>
        <vt:lpwstr>_Toc141166605</vt:lpwstr>
      </vt:variant>
      <vt:variant>
        <vt:i4>1310768</vt:i4>
      </vt:variant>
      <vt:variant>
        <vt:i4>134</vt:i4>
      </vt:variant>
      <vt:variant>
        <vt:i4>0</vt:i4>
      </vt:variant>
      <vt:variant>
        <vt:i4>5</vt:i4>
      </vt:variant>
      <vt:variant>
        <vt:lpwstr/>
      </vt:variant>
      <vt:variant>
        <vt:lpwstr>_Toc141166604</vt:lpwstr>
      </vt:variant>
      <vt:variant>
        <vt:i4>1310768</vt:i4>
      </vt:variant>
      <vt:variant>
        <vt:i4>128</vt:i4>
      </vt:variant>
      <vt:variant>
        <vt:i4>0</vt:i4>
      </vt:variant>
      <vt:variant>
        <vt:i4>5</vt:i4>
      </vt:variant>
      <vt:variant>
        <vt:lpwstr/>
      </vt:variant>
      <vt:variant>
        <vt:lpwstr>_Toc141166603</vt:lpwstr>
      </vt:variant>
      <vt:variant>
        <vt:i4>1310768</vt:i4>
      </vt:variant>
      <vt:variant>
        <vt:i4>122</vt:i4>
      </vt:variant>
      <vt:variant>
        <vt:i4>0</vt:i4>
      </vt:variant>
      <vt:variant>
        <vt:i4>5</vt:i4>
      </vt:variant>
      <vt:variant>
        <vt:lpwstr/>
      </vt:variant>
      <vt:variant>
        <vt:lpwstr>_Toc141166602</vt:lpwstr>
      </vt:variant>
      <vt:variant>
        <vt:i4>1310768</vt:i4>
      </vt:variant>
      <vt:variant>
        <vt:i4>116</vt:i4>
      </vt:variant>
      <vt:variant>
        <vt:i4>0</vt:i4>
      </vt:variant>
      <vt:variant>
        <vt:i4>5</vt:i4>
      </vt:variant>
      <vt:variant>
        <vt:lpwstr/>
      </vt:variant>
      <vt:variant>
        <vt:lpwstr>_Toc141166601</vt:lpwstr>
      </vt:variant>
      <vt:variant>
        <vt:i4>1310768</vt:i4>
      </vt:variant>
      <vt:variant>
        <vt:i4>110</vt:i4>
      </vt:variant>
      <vt:variant>
        <vt:i4>0</vt:i4>
      </vt:variant>
      <vt:variant>
        <vt:i4>5</vt:i4>
      </vt:variant>
      <vt:variant>
        <vt:lpwstr/>
      </vt:variant>
      <vt:variant>
        <vt:lpwstr>_Toc141166600</vt:lpwstr>
      </vt:variant>
      <vt:variant>
        <vt:i4>1900595</vt:i4>
      </vt:variant>
      <vt:variant>
        <vt:i4>104</vt:i4>
      </vt:variant>
      <vt:variant>
        <vt:i4>0</vt:i4>
      </vt:variant>
      <vt:variant>
        <vt:i4>5</vt:i4>
      </vt:variant>
      <vt:variant>
        <vt:lpwstr/>
      </vt:variant>
      <vt:variant>
        <vt:lpwstr>_Toc141166599</vt:lpwstr>
      </vt:variant>
      <vt:variant>
        <vt:i4>1900595</vt:i4>
      </vt:variant>
      <vt:variant>
        <vt:i4>98</vt:i4>
      </vt:variant>
      <vt:variant>
        <vt:i4>0</vt:i4>
      </vt:variant>
      <vt:variant>
        <vt:i4>5</vt:i4>
      </vt:variant>
      <vt:variant>
        <vt:lpwstr/>
      </vt:variant>
      <vt:variant>
        <vt:lpwstr>_Toc141166598</vt:lpwstr>
      </vt:variant>
      <vt:variant>
        <vt:i4>1900595</vt:i4>
      </vt:variant>
      <vt:variant>
        <vt:i4>92</vt:i4>
      </vt:variant>
      <vt:variant>
        <vt:i4>0</vt:i4>
      </vt:variant>
      <vt:variant>
        <vt:i4>5</vt:i4>
      </vt:variant>
      <vt:variant>
        <vt:lpwstr/>
      </vt:variant>
      <vt:variant>
        <vt:lpwstr>_Toc141166597</vt:lpwstr>
      </vt:variant>
      <vt:variant>
        <vt:i4>1900595</vt:i4>
      </vt:variant>
      <vt:variant>
        <vt:i4>86</vt:i4>
      </vt:variant>
      <vt:variant>
        <vt:i4>0</vt:i4>
      </vt:variant>
      <vt:variant>
        <vt:i4>5</vt:i4>
      </vt:variant>
      <vt:variant>
        <vt:lpwstr/>
      </vt:variant>
      <vt:variant>
        <vt:lpwstr>_Toc141166596</vt:lpwstr>
      </vt:variant>
      <vt:variant>
        <vt:i4>1900595</vt:i4>
      </vt:variant>
      <vt:variant>
        <vt:i4>80</vt:i4>
      </vt:variant>
      <vt:variant>
        <vt:i4>0</vt:i4>
      </vt:variant>
      <vt:variant>
        <vt:i4>5</vt:i4>
      </vt:variant>
      <vt:variant>
        <vt:lpwstr/>
      </vt:variant>
      <vt:variant>
        <vt:lpwstr>_Toc141166595</vt:lpwstr>
      </vt:variant>
      <vt:variant>
        <vt:i4>1900595</vt:i4>
      </vt:variant>
      <vt:variant>
        <vt:i4>74</vt:i4>
      </vt:variant>
      <vt:variant>
        <vt:i4>0</vt:i4>
      </vt:variant>
      <vt:variant>
        <vt:i4>5</vt:i4>
      </vt:variant>
      <vt:variant>
        <vt:lpwstr/>
      </vt:variant>
      <vt:variant>
        <vt:lpwstr>_Toc141166594</vt:lpwstr>
      </vt:variant>
      <vt:variant>
        <vt:i4>1900595</vt:i4>
      </vt:variant>
      <vt:variant>
        <vt:i4>68</vt:i4>
      </vt:variant>
      <vt:variant>
        <vt:i4>0</vt:i4>
      </vt:variant>
      <vt:variant>
        <vt:i4>5</vt:i4>
      </vt:variant>
      <vt:variant>
        <vt:lpwstr/>
      </vt:variant>
      <vt:variant>
        <vt:lpwstr>_Toc141166593</vt:lpwstr>
      </vt:variant>
      <vt:variant>
        <vt:i4>1900595</vt:i4>
      </vt:variant>
      <vt:variant>
        <vt:i4>62</vt:i4>
      </vt:variant>
      <vt:variant>
        <vt:i4>0</vt:i4>
      </vt:variant>
      <vt:variant>
        <vt:i4>5</vt:i4>
      </vt:variant>
      <vt:variant>
        <vt:lpwstr/>
      </vt:variant>
      <vt:variant>
        <vt:lpwstr>_Toc141166592</vt:lpwstr>
      </vt:variant>
      <vt:variant>
        <vt:i4>1900595</vt:i4>
      </vt:variant>
      <vt:variant>
        <vt:i4>56</vt:i4>
      </vt:variant>
      <vt:variant>
        <vt:i4>0</vt:i4>
      </vt:variant>
      <vt:variant>
        <vt:i4>5</vt:i4>
      </vt:variant>
      <vt:variant>
        <vt:lpwstr/>
      </vt:variant>
      <vt:variant>
        <vt:lpwstr>_Toc141166591</vt:lpwstr>
      </vt:variant>
      <vt:variant>
        <vt:i4>1900595</vt:i4>
      </vt:variant>
      <vt:variant>
        <vt:i4>50</vt:i4>
      </vt:variant>
      <vt:variant>
        <vt:i4>0</vt:i4>
      </vt:variant>
      <vt:variant>
        <vt:i4>5</vt:i4>
      </vt:variant>
      <vt:variant>
        <vt:lpwstr/>
      </vt:variant>
      <vt:variant>
        <vt:lpwstr>_Toc141166590</vt:lpwstr>
      </vt:variant>
      <vt:variant>
        <vt:i4>1835059</vt:i4>
      </vt:variant>
      <vt:variant>
        <vt:i4>44</vt:i4>
      </vt:variant>
      <vt:variant>
        <vt:i4>0</vt:i4>
      </vt:variant>
      <vt:variant>
        <vt:i4>5</vt:i4>
      </vt:variant>
      <vt:variant>
        <vt:lpwstr/>
      </vt:variant>
      <vt:variant>
        <vt:lpwstr>_Toc141166589</vt:lpwstr>
      </vt:variant>
      <vt:variant>
        <vt:i4>1835059</vt:i4>
      </vt:variant>
      <vt:variant>
        <vt:i4>38</vt:i4>
      </vt:variant>
      <vt:variant>
        <vt:i4>0</vt:i4>
      </vt:variant>
      <vt:variant>
        <vt:i4>5</vt:i4>
      </vt:variant>
      <vt:variant>
        <vt:lpwstr/>
      </vt:variant>
      <vt:variant>
        <vt:lpwstr>_Toc141166588</vt:lpwstr>
      </vt:variant>
      <vt:variant>
        <vt:i4>1835059</vt:i4>
      </vt:variant>
      <vt:variant>
        <vt:i4>32</vt:i4>
      </vt:variant>
      <vt:variant>
        <vt:i4>0</vt:i4>
      </vt:variant>
      <vt:variant>
        <vt:i4>5</vt:i4>
      </vt:variant>
      <vt:variant>
        <vt:lpwstr/>
      </vt:variant>
      <vt:variant>
        <vt:lpwstr>_Toc141166587</vt:lpwstr>
      </vt:variant>
      <vt:variant>
        <vt:i4>1835059</vt:i4>
      </vt:variant>
      <vt:variant>
        <vt:i4>26</vt:i4>
      </vt:variant>
      <vt:variant>
        <vt:i4>0</vt:i4>
      </vt:variant>
      <vt:variant>
        <vt:i4>5</vt:i4>
      </vt:variant>
      <vt:variant>
        <vt:lpwstr/>
      </vt:variant>
      <vt:variant>
        <vt:lpwstr>_Toc141166586</vt:lpwstr>
      </vt:variant>
      <vt:variant>
        <vt:i4>1835059</vt:i4>
      </vt:variant>
      <vt:variant>
        <vt:i4>20</vt:i4>
      </vt:variant>
      <vt:variant>
        <vt:i4>0</vt:i4>
      </vt:variant>
      <vt:variant>
        <vt:i4>5</vt:i4>
      </vt:variant>
      <vt:variant>
        <vt:lpwstr/>
      </vt:variant>
      <vt:variant>
        <vt:lpwstr>_Toc141166585</vt:lpwstr>
      </vt:variant>
      <vt:variant>
        <vt:i4>1835059</vt:i4>
      </vt:variant>
      <vt:variant>
        <vt:i4>14</vt:i4>
      </vt:variant>
      <vt:variant>
        <vt:i4>0</vt:i4>
      </vt:variant>
      <vt:variant>
        <vt:i4>5</vt:i4>
      </vt:variant>
      <vt:variant>
        <vt:lpwstr/>
      </vt:variant>
      <vt:variant>
        <vt:lpwstr>_Toc141166584</vt:lpwstr>
      </vt:variant>
      <vt:variant>
        <vt:i4>1835059</vt:i4>
      </vt:variant>
      <vt:variant>
        <vt:i4>8</vt:i4>
      </vt:variant>
      <vt:variant>
        <vt:i4>0</vt:i4>
      </vt:variant>
      <vt:variant>
        <vt:i4>5</vt:i4>
      </vt:variant>
      <vt:variant>
        <vt:lpwstr/>
      </vt:variant>
      <vt:variant>
        <vt:lpwstr>_Toc141166583</vt:lpwstr>
      </vt:variant>
      <vt:variant>
        <vt:i4>1835059</vt:i4>
      </vt:variant>
      <vt:variant>
        <vt:i4>2</vt:i4>
      </vt:variant>
      <vt:variant>
        <vt:i4>0</vt:i4>
      </vt:variant>
      <vt:variant>
        <vt:i4>5</vt:i4>
      </vt:variant>
      <vt:variant>
        <vt:lpwstr/>
      </vt:variant>
      <vt:variant>
        <vt:lpwstr>_Toc141166582</vt:lpwstr>
      </vt:variant>
      <vt:variant>
        <vt:i4>7536672</vt:i4>
      </vt:variant>
      <vt:variant>
        <vt:i4>21</vt:i4>
      </vt:variant>
      <vt:variant>
        <vt:i4>0</vt:i4>
      </vt:variant>
      <vt:variant>
        <vt:i4>5</vt:i4>
      </vt:variant>
      <vt:variant>
        <vt:lpwstr>https://www.gov.uk/government/statistical-data-sets/live-tables-on-planning-application-statistics</vt:lpwstr>
      </vt:variant>
      <vt:variant>
        <vt:lpwstr/>
      </vt:variant>
      <vt:variant>
        <vt:i4>4784141</vt:i4>
      </vt:variant>
      <vt:variant>
        <vt:i4>18</vt:i4>
      </vt:variant>
      <vt:variant>
        <vt:i4>0</vt:i4>
      </vt:variant>
      <vt:variant>
        <vt:i4>5</vt:i4>
      </vt:variant>
      <vt:variant>
        <vt:lpwstr>https://www.legislation.gov.uk/uksi/2020/757/made?view=plain</vt:lpwstr>
      </vt:variant>
      <vt:variant>
        <vt:lpwstr/>
      </vt:variant>
      <vt:variant>
        <vt:i4>7667762</vt:i4>
      </vt:variant>
      <vt:variant>
        <vt:i4>15</vt:i4>
      </vt:variant>
      <vt:variant>
        <vt:i4>0</vt:i4>
      </vt:variant>
      <vt:variant>
        <vt:i4>5</vt:i4>
      </vt:variant>
      <vt:variant>
        <vt:lpwstr>https://www.legislation.gov.uk/uksi/2020/757/pdfs/uksiod_20200757_en.pdf</vt:lpwstr>
      </vt:variant>
      <vt:variant>
        <vt:lpwstr>:~:text=The%20primary%20legislation%20allows%20the%20Secretary%20of%20State,development%20and%20therefore%20does%20not%20require%20planning%20permission.</vt:lpwstr>
      </vt:variant>
      <vt:variant>
        <vt:i4>2883633</vt:i4>
      </vt:variant>
      <vt:variant>
        <vt:i4>12</vt:i4>
      </vt:variant>
      <vt:variant>
        <vt:i4>0</vt:i4>
      </vt:variant>
      <vt:variant>
        <vt:i4>5</vt:i4>
      </vt:variant>
      <vt:variant>
        <vt:lpwstr>https://www.tamworth.gov.uk/five-year-housing-land-supply-2022-2027</vt:lpwstr>
      </vt:variant>
      <vt:variant>
        <vt:lpwstr/>
      </vt:variant>
      <vt:variant>
        <vt:i4>917580</vt:i4>
      </vt:variant>
      <vt:variant>
        <vt:i4>9</vt:i4>
      </vt:variant>
      <vt:variant>
        <vt:i4>0</vt:i4>
      </vt:variant>
      <vt:variant>
        <vt:i4>5</vt:i4>
      </vt:variant>
      <vt:variant>
        <vt:lpwstr>https://www.tamworth.gov.uk/local-development-scheme</vt:lpwstr>
      </vt:variant>
      <vt:variant>
        <vt:lpwstr/>
      </vt:variant>
      <vt:variant>
        <vt:i4>1507444</vt:i4>
      </vt:variant>
      <vt:variant>
        <vt:i4>6</vt:i4>
      </vt:variant>
      <vt:variant>
        <vt:i4>0</vt:i4>
      </vt:variant>
      <vt:variant>
        <vt:i4>5</vt:i4>
      </vt:variant>
      <vt:variant>
        <vt:lpwstr>https://www.tamworth.gov.uk/sites/default/files/planning_docs/Local-Plan-Review-2020.pdf</vt:lpwstr>
      </vt:variant>
      <vt:variant>
        <vt:lpwstr/>
      </vt:variant>
      <vt:variant>
        <vt:i4>5701659</vt:i4>
      </vt:variant>
      <vt:variant>
        <vt:i4>3</vt:i4>
      </vt:variant>
      <vt:variant>
        <vt:i4>0</vt:i4>
      </vt:variant>
      <vt:variant>
        <vt:i4>5</vt:i4>
      </vt:variant>
      <vt:variant>
        <vt:lpwstr>https://www.legislation.gov.uk/ukpga/2004/5/contents</vt:lpwstr>
      </vt:variant>
      <vt:variant>
        <vt:lpwstr/>
      </vt:variant>
      <vt:variant>
        <vt:i4>4784141</vt:i4>
      </vt:variant>
      <vt:variant>
        <vt:i4>0</vt:i4>
      </vt:variant>
      <vt:variant>
        <vt:i4>0</vt:i4>
      </vt:variant>
      <vt:variant>
        <vt:i4>5</vt:i4>
      </vt:variant>
      <vt:variant>
        <vt:lpwstr>https://www.legislation.gov.uk/uksi/2020/757/made?view=plain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Richard</dc:creator>
  <cp:keywords/>
  <cp:lastModifiedBy>Toone, Anna</cp:lastModifiedBy>
  <cp:revision>5</cp:revision>
  <cp:lastPrinted>2023-06-09T18:07:00Z</cp:lastPrinted>
  <dcterms:created xsi:type="dcterms:W3CDTF">2023-11-30T17:59:00Z</dcterms:created>
  <dcterms:modified xsi:type="dcterms:W3CDTF">2024-03-16T09:57:00Z</dcterms:modified>
</cp:coreProperties>
</file>